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82301" w14:textId="77777777" w:rsidR="00B36B54" w:rsidRPr="0076451F" w:rsidRDefault="00B36B54" w:rsidP="0076451F"/>
    <w:p w14:paraId="18BAC2F5" w14:textId="77777777" w:rsidR="00891C3B" w:rsidRDefault="00891C3B" w:rsidP="0043244A">
      <w:pPr>
        <w:ind w:left="5103" w:right="-141"/>
        <w:jc w:val="both"/>
        <w:outlineLvl w:val="0"/>
        <w:rPr>
          <w:sz w:val="26"/>
          <w:szCs w:val="26"/>
        </w:rPr>
      </w:pPr>
      <w:bookmarkStart w:id="0" w:name="_GoBack"/>
      <w:bookmarkEnd w:id="0"/>
    </w:p>
    <w:p w14:paraId="702E151F" w14:textId="7AC420E8" w:rsidR="0043244A" w:rsidRPr="00DB12A2" w:rsidRDefault="0043244A" w:rsidP="0043244A">
      <w:pPr>
        <w:ind w:left="5103" w:right="-141"/>
        <w:jc w:val="both"/>
        <w:outlineLvl w:val="0"/>
        <w:rPr>
          <w:sz w:val="26"/>
          <w:szCs w:val="26"/>
        </w:rPr>
      </w:pPr>
      <w:r w:rsidRPr="00DB12A2">
        <w:rPr>
          <w:sz w:val="26"/>
          <w:szCs w:val="26"/>
        </w:rPr>
        <w:t>Приложение 5</w:t>
      </w:r>
    </w:p>
    <w:p w14:paraId="32ED36CE" w14:textId="788FBABC" w:rsidR="0043244A" w:rsidRPr="00DB12A2" w:rsidRDefault="0043244A" w:rsidP="0043244A">
      <w:pPr>
        <w:ind w:left="5103" w:right="-141"/>
        <w:jc w:val="both"/>
        <w:rPr>
          <w:sz w:val="26"/>
          <w:szCs w:val="26"/>
        </w:rPr>
      </w:pPr>
      <w:r w:rsidRPr="00DB12A2">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p>
    <w:p w14:paraId="515C5015" w14:textId="77777777" w:rsidR="0043244A" w:rsidRPr="00DB12A2" w:rsidRDefault="0043244A" w:rsidP="00010834">
      <w:pPr>
        <w:outlineLvl w:val="0"/>
        <w:rPr>
          <w:sz w:val="26"/>
          <w:szCs w:val="26"/>
        </w:rPr>
      </w:pPr>
    </w:p>
    <w:p w14:paraId="5D7907E6" w14:textId="69DD4B98" w:rsidR="000A29E7" w:rsidRPr="00DB12A2" w:rsidRDefault="00010834" w:rsidP="00A960A0">
      <w:pPr>
        <w:jc w:val="center"/>
        <w:outlineLvl w:val="0"/>
        <w:rPr>
          <w:b/>
          <w:sz w:val="26"/>
          <w:szCs w:val="26"/>
        </w:rPr>
      </w:pPr>
      <w:r w:rsidRPr="00DB12A2">
        <w:rPr>
          <w:b/>
          <w:sz w:val="26"/>
          <w:szCs w:val="26"/>
        </w:rPr>
        <w:t xml:space="preserve">Условия участия </w:t>
      </w:r>
      <w:r w:rsidR="00215A4C" w:rsidRPr="00215A4C">
        <w:rPr>
          <w:b/>
          <w:sz w:val="26"/>
          <w:szCs w:val="26"/>
        </w:rPr>
        <w:t xml:space="preserve">некоммерческой организацией «Гарантийный фонд для субъектов малого и среднего предпринимательства Оренбургской области»  </w:t>
      </w:r>
    </w:p>
    <w:p w14:paraId="0730ED55" w14:textId="77777777" w:rsidR="00C028F8" w:rsidRPr="00DB12A2" w:rsidRDefault="00010834" w:rsidP="00A960A0">
      <w:pPr>
        <w:jc w:val="center"/>
        <w:outlineLvl w:val="0"/>
        <w:rPr>
          <w:b/>
          <w:sz w:val="26"/>
          <w:szCs w:val="26"/>
        </w:rPr>
      </w:pPr>
      <w:r w:rsidRPr="00DB12A2">
        <w:rPr>
          <w:b/>
          <w:sz w:val="26"/>
          <w:szCs w:val="26"/>
        </w:rPr>
        <w:t>в механизме гарантийной поддержк</w:t>
      </w:r>
      <w:r w:rsidR="00A960A0" w:rsidRPr="00DB12A2">
        <w:rPr>
          <w:b/>
          <w:sz w:val="26"/>
          <w:szCs w:val="26"/>
        </w:rPr>
        <w:t>и</w:t>
      </w:r>
      <w:r w:rsidR="000A29E7" w:rsidRPr="00DB12A2">
        <w:rPr>
          <w:b/>
          <w:sz w:val="26"/>
          <w:szCs w:val="26"/>
        </w:rPr>
        <w:t xml:space="preserve"> </w:t>
      </w:r>
      <w:r w:rsidRPr="00DB12A2">
        <w:rPr>
          <w:b/>
          <w:sz w:val="26"/>
          <w:szCs w:val="26"/>
        </w:rPr>
        <w:t>без повторного андеррайтинга</w:t>
      </w:r>
      <w:r w:rsidR="00C028F8" w:rsidRPr="00DB12A2">
        <w:rPr>
          <w:b/>
          <w:sz w:val="26"/>
          <w:szCs w:val="26"/>
        </w:rPr>
        <w:t xml:space="preserve"> </w:t>
      </w:r>
    </w:p>
    <w:p w14:paraId="7B0D8322" w14:textId="77777777" w:rsidR="00010834" w:rsidRPr="00DB12A2" w:rsidRDefault="00C028F8" w:rsidP="00A960A0">
      <w:pPr>
        <w:jc w:val="center"/>
        <w:outlineLvl w:val="0"/>
        <w:rPr>
          <w:b/>
          <w:sz w:val="26"/>
          <w:szCs w:val="26"/>
        </w:rPr>
      </w:pPr>
      <w:r w:rsidRPr="00DB12A2">
        <w:rPr>
          <w:b/>
          <w:sz w:val="26"/>
          <w:szCs w:val="26"/>
        </w:rPr>
        <w:t>совместно с банками-партнерами, аккредитованных АО «Корпорация «МСП»</w:t>
      </w:r>
    </w:p>
    <w:p w14:paraId="506CA477" w14:textId="77777777" w:rsidR="00010834" w:rsidRPr="00DB12A2" w:rsidRDefault="00010834" w:rsidP="00010834">
      <w:pPr>
        <w:outlineLvl w:val="0"/>
        <w:rPr>
          <w:sz w:val="26"/>
          <w:szCs w:val="26"/>
        </w:rPr>
      </w:pPr>
    </w:p>
    <w:tbl>
      <w:tblPr>
        <w:tblStyle w:val="ad"/>
        <w:tblW w:w="0" w:type="auto"/>
        <w:jc w:val="center"/>
        <w:tblLook w:val="04A0" w:firstRow="1" w:lastRow="0" w:firstColumn="1" w:lastColumn="0" w:noHBand="0" w:noVBand="1"/>
      </w:tblPr>
      <w:tblGrid>
        <w:gridCol w:w="567"/>
        <w:gridCol w:w="4815"/>
        <w:gridCol w:w="4359"/>
      </w:tblGrid>
      <w:tr w:rsidR="00010834" w:rsidRPr="00DB12A2" w14:paraId="3AC750F6" w14:textId="77777777" w:rsidTr="00790E59">
        <w:trPr>
          <w:jc w:val="center"/>
        </w:trPr>
        <w:tc>
          <w:tcPr>
            <w:tcW w:w="567" w:type="dxa"/>
            <w:vAlign w:val="center"/>
          </w:tcPr>
          <w:p w14:paraId="72EE3F78" w14:textId="77777777" w:rsidR="00010834" w:rsidRPr="00DB12A2" w:rsidRDefault="00010834" w:rsidP="00010834">
            <w:pPr>
              <w:jc w:val="center"/>
              <w:outlineLvl w:val="0"/>
              <w:rPr>
                <w:b/>
                <w:sz w:val="20"/>
                <w:szCs w:val="20"/>
              </w:rPr>
            </w:pPr>
            <w:r w:rsidRPr="00DB12A2">
              <w:rPr>
                <w:b/>
                <w:sz w:val="20"/>
                <w:szCs w:val="20"/>
              </w:rPr>
              <w:t>№ п/п</w:t>
            </w:r>
          </w:p>
        </w:tc>
        <w:tc>
          <w:tcPr>
            <w:tcW w:w="4815" w:type="dxa"/>
            <w:vAlign w:val="center"/>
          </w:tcPr>
          <w:p w14:paraId="3905E16B" w14:textId="77777777" w:rsidR="00010834" w:rsidRPr="00DB12A2" w:rsidRDefault="00010834" w:rsidP="00010834">
            <w:pPr>
              <w:jc w:val="center"/>
              <w:outlineLvl w:val="0"/>
              <w:rPr>
                <w:b/>
                <w:sz w:val="20"/>
                <w:szCs w:val="20"/>
              </w:rPr>
            </w:pPr>
            <w:r w:rsidRPr="00DB12A2">
              <w:rPr>
                <w:b/>
                <w:sz w:val="20"/>
                <w:szCs w:val="20"/>
              </w:rPr>
              <w:t>Параметры</w:t>
            </w:r>
          </w:p>
        </w:tc>
        <w:tc>
          <w:tcPr>
            <w:tcW w:w="4359" w:type="dxa"/>
            <w:vAlign w:val="center"/>
          </w:tcPr>
          <w:p w14:paraId="31A5A568" w14:textId="77777777" w:rsidR="00010834" w:rsidRPr="00DB12A2" w:rsidRDefault="00010834" w:rsidP="00010834">
            <w:pPr>
              <w:jc w:val="center"/>
              <w:outlineLvl w:val="0"/>
              <w:rPr>
                <w:b/>
                <w:sz w:val="20"/>
                <w:szCs w:val="20"/>
              </w:rPr>
            </w:pPr>
            <w:r w:rsidRPr="00DB12A2">
              <w:rPr>
                <w:b/>
                <w:sz w:val="20"/>
                <w:szCs w:val="20"/>
              </w:rPr>
              <w:t>Базовые условия</w:t>
            </w:r>
          </w:p>
        </w:tc>
      </w:tr>
      <w:tr w:rsidR="00010834" w:rsidRPr="00DB12A2" w14:paraId="370A5563" w14:textId="77777777" w:rsidTr="00790E59">
        <w:trPr>
          <w:jc w:val="center"/>
        </w:trPr>
        <w:tc>
          <w:tcPr>
            <w:tcW w:w="567" w:type="dxa"/>
            <w:vAlign w:val="center"/>
          </w:tcPr>
          <w:p w14:paraId="0B79C077" w14:textId="77777777" w:rsidR="00010834" w:rsidRPr="003B5616" w:rsidRDefault="00010834" w:rsidP="00010834">
            <w:pPr>
              <w:jc w:val="center"/>
              <w:outlineLvl w:val="0"/>
              <w:rPr>
                <w:sz w:val="20"/>
                <w:szCs w:val="20"/>
              </w:rPr>
            </w:pPr>
            <w:r w:rsidRPr="003B5616">
              <w:rPr>
                <w:sz w:val="20"/>
                <w:szCs w:val="20"/>
              </w:rPr>
              <w:t>1</w:t>
            </w:r>
          </w:p>
        </w:tc>
        <w:tc>
          <w:tcPr>
            <w:tcW w:w="4815" w:type="dxa"/>
            <w:vAlign w:val="center"/>
          </w:tcPr>
          <w:p w14:paraId="58D95990" w14:textId="77777777" w:rsidR="00010834" w:rsidRPr="003B5616" w:rsidRDefault="00010834" w:rsidP="0042501A">
            <w:pPr>
              <w:jc w:val="center"/>
              <w:outlineLvl w:val="0"/>
              <w:rPr>
                <w:sz w:val="20"/>
                <w:szCs w:val="20"/>
              </w:rPr>
            </w:pPr>
            <w:r w:rsidRPr="003B5616">
              <w:rPr>
                <w:sz w:val="20"/>
                <w:szCs w:val="20"/>
              </w:rPr>
              <w:t xml:space="preserve">Диапазон заявок, передаваемых по Механизму  </w:t>
            </w:r>
          </w:p>
        </w:tc>
        <w:tc>
          <w:tcPr>
            <w:tcW w:w="4359" w:type="dxa"/>
            <w:vAlign w:val="center"/>
          </w:tcPr>
          <w:p w14:paraId="254DDC54" w14:textId="77777777" w:rsidR="00010834" w:rsidRPr="003B5616" w:rsidRDefault="00026D95" w:rsidP="00EC6096">
            <w:pPr>
              <w:jc w:val="center"/>
              <w:outlineLvl w:val="0"/>
              <w:rPr>
                <w:sz w:val="20"/>
                <w:szCs w:val="20"/>
              </w:rPr>
            </w:pPr>
            <w:r w:rsidRPr="003B5616">
              <w:rPr>
                <w:sz w:val="20"/>
                <w:szCs w:val="20"/>
              </w:rPr>
              <w:t xml:space="preserve">от </w:t>
            </w:r>
            <w:r w:rsidR="007458F2" w:rsidRPr="003B5616">
              <w:rPr>
                <w:sz w:val="20"/>
                <w:szCs w:val="20"/>
              </w:rPr>
              <w:t xml:space="preserve">0 </w:t>
            </w:r>
            <w:r w:rsidR="0042501A" w:rsidRPr="003B5616">
              <w:rPr>
                <w:sz w:val="20"/>
                <w:szCs w:val="20"/>
              </w:rPr>
              <w:t xml:space="preserve">до </w:t>
            </w:r>
            <w:r w:rsidR="00EC6096">
              <w:rPr>
                <w:sz w:val="20"/>
                <w:szCs w:val="20"/>
              </w:rPr>
              <w:t>1</w:t>
            </w:r>
            <w:r w:rsidR="0042501A" w:rsidRPr="003B5616">
              <w:rPr>
                <w:sz w:val="20"/>
                <w:szCs w:val="20"/>
              </w:rPr>
              <w:t>5 млн. рублей</w:t>
            </w:r>
            <w:r w:rsidR="00BE2016" w:rsidRPr="003B5616">
              <w:rPr>
                <w:sz w:val="20"/>
                <w:szCs w:val="20"/>
              </w:rPr>
              <w:t xml:space="preserve"> включительно</w:t>
            </w:r>
          </w:p>
        </w:tc>
      </w:tr>
      <w:tr w:rsidR="00010834" w:rsidRPr="00194375" w14:paraId="136414AD" w14:textId="77777777" w:rsidTr="00790E59">
        <w:trPr>
          <w:jc w:val="center"/>
        </w:trPr>
        <w:tc>
          <w:tcPr>
            <w:tcW w:w="567" w:type="dxa"/>
            <w:vAlign w:val="center"/>
          </w:tcPr>
          <w:p w14:paraId="227A8CC3" w14:textId="77777777" w:rsidR="00010834" w:rsidRPr="00194375" w:rsidRDefault="00010834" w:rsidP="00010834">
            <w:pPr>
              <w:jc w:val="center"/>
              <w:outlineLvl w:val="0"/>
              <w:rPr>
                <w:sz w:val="20"/>
                <w:szCs w:val="20"/>
              </w:rPr>
            </w:pPr>
            <w:r w:rsidRPr="00194375">
              <w:rPr>
                <w:sz w:val="20"/>
                <w:szCs w:val="20"/>
              </w:rPr>
              <w:t>2</w:t>
            </w:r>
          </w:p>
        </w:tc>
        <w:tc>
          <w:tcPr>
            <w:tcW w:w="4815" w:type="dxa"/>
            <w:vAlign w:val="center"/>
          </w:tcPr>
          <w:p w14:paraId="5276C77E" w14:textId="77777777" w:rsidR="00010834" w:rsidRPr="00194375" w:rsidRDefault="00010834" w:rsidP="00010834">
            <w:pPr>
              <w:jc w:val="center"/>
              <w:outlineLvl w:val="0"/>
              <w:rPr>
                <w:sz w:val="20"/>
                <w:szCs w:val="20"/>
              </w:rPr>
            </w:pPr>
            <w:r w:rsidRPr="00194375">
              <w:rPr>
                <w:sz w:val="20"/>
                <w:szCs w:val="20"/>
              </w:rPr>
              <w:t>Общий лимит на СМСП по Механизму</w:t>
            </w:r>
          </w:p>
        </w:tc>
        <w:tc>
          <w:tcPr>
            <w:tcW w:w="4359" w:type="dxa"/>
            <w:vAlign w:val="center"/>
          </w:tcPr>
          <w:p w14:paraId="31CFFE85" w14:textId="77777777" w:rsidR="00010834" w:rsidRPr="00194375" w:rsidRDefault="0042501A" w:rsidP="00010834">
            <w:pPr>
              <w:jc w:val="center"/>
              <w:outlineLvl w:val="0"/>
              <w:rPr>
                <w:sz w:val="20"/>
                <w:szCs w:val="20"/>
              </w:rPr>
            </w:pPr>
            <w:r w:rsidRPr="00194375">
              <w:rPr>
                <w:sz w:val="20"/>
                <w:szCs w:val="20"/>
              </w:rPr>
              <w:t>15 млн. рублей</w:t>
            </w:r>
          </w:p>
        </w:tc>
      </w:tr>
      <w:tr w:rsidR="00010834" w:rsidRPr="00194375" w14:paraId="105F31ED" w14:textId="77777777" w:rsidTr="00790E59">
        <w:trPr>
          <w:jc w:val="center"/>
        </w:trPr>
        <w:tc>
          <w:tcPr>
            <w:tcW w:w="567" w:type="dxa"/>
            <w:vAlign w:val="center"/>
          </w:tcPr>
          <w:p w14:paraId="0179FAF5" w14:textId="77777777" w:rsidR="00010834" w:rsidRPr="00194375" w:rsidRDefault="00010834" w:rsidP="00010834">
            <w:pPr>
              <w:jc w:val="center"/>
              <w:outlineLvl w:val="0"/>
              <w:rPr>
                <w:sz w:val="20"/>
                <w:szCs w:val="20"/>
              </w:rPr>
            </w:pPr>
            <w:r w:rsidRPr="00194375">
              <w:rPr>
                <w:sz w:val="20"/>
                <w:szCs w:val="20"/>
              </w:rPr>
              <w:t>3</w:t>
            </w:r>
          </w:p>
        </w:tc>
        <w:tc>
          <w:tcPr>
            <w:tcW w:w="4815" w:type="dxa"/>
            <w:vAlign w:val="center"/>
          </w:tcPr>
          <w:p w14:paraId="3F9D2EC5" w14:textId="69A9F0EA" w:rsidR="00010834" w:rsidRPr="00194375" w:rsidRDefault="00010834" w:rsidP="00010834">
            <w:pPr>
              <w:jc w:val="center"/>
              <w:outlineLvl w:val="0"/>
              <w:rPr>
                <w:sz w:val="20"/>
                <w:szCs w:val="20"/>
              </w:rPr>
            </w:pPr>
            <w:r w:rsidRPr="00194375">
              <w:rPr>
                <w:sz w:val="20"/>
                <w:szCs w:val="20"/>
              </w:rPr>
              <w:t xml:space="preserve">Лимит на партнера </w:t>
            </w:r>
          </w:p>
        </w:tc>
        <w:tc>
          <w:tcPr>
            <w:tcW w:w="4359" w:type="dxa"/>
            <w:vAlign w:val="center"/>
          </w:tcPr>
          <w:p w14:paraId="0C180407" w14:textId="77777777" w:rsidR="00010834" w:rsidRPr="00194375" w:rsidRDefault="000F6079" w:rsidP="0042501A">
            <w:pPr>
              <w:jc w:val="center"/>
              <w:outlineLvl w:val="0"/>
              <w:rPr>
                <w:sz w:val="20"/>
                <w:szCs w:val="20"/>
              </w:rPr>
            </w:pPr>
            <w:r w:rsidRPr="00194375">
              <w:rPr>
                <w:sz w:val="20"/>
                <w:szCs w:val="20"/>
              </w:rPr>
              <w:t>В соответствии с</w:t>
            </w:r>
            <w:r w:rsidR="002D788D" w:rsidRPr="00194375">
              <w:t xml:space="preserve"> </w:t>
            </w:r>
            <w:r w:rsidR="002D788D" w:rsidRPr="00194375">
              <w:rPr>
                <w:sz w:val="20"/>
                <w:szCs w:val="20"/>
              </w:rPr>
              <w:t>лимитами условных обязательств на банки-партнеры</w:t>
            </w:r>
            <w:r w:rsidRPr="00194375">
              <w:rPr>
                <w:sz w:val="20"/>
                <w:szCs w:val="20"/>
              </w:rPr>
              <w:t>, у</w:t>
            </w:r>
            <w:r w:rsidR="002D788D" w:rsidRPr="00194375">
              <w:rPr>
                <w:sz w:val="20"/>
                <w:szCs w:val="20"/>
              </w:rPr>
              <w:t>станавливаемые</w:t>
            </w:r>
            <w:r w:rsidRPr="00194375">
              <w:rPr>
                <w:sz w:val="20"/>
                <w:szCs w:val="20"/>
              </w:rPr>
              <w:t xml:space="preserve"> Наблюдательным советом</w:t>
            </w:r>
            <w:r w:rsidR="002D788D" w:rsidRPr="00194375">
              <w:rPr>
                <w:sz w:val="20"/>
                <w:szCs w:val="20"/>
              </w:rPr>
              <w:t xml:space="preserve"> Фонда</w:t>
            </w:r>
          </w:p>
        </w:tc>
      </w:tr>
      <w:tr w:rsidR="00010834" w:rsidRPr="00194375" w14:paraId="0D843B74" w14:textId="77777777" w:rsidTr="00790E59">
        <w:trPr>
          <w:jc w:val="center"/>
        </w:trPr>
        <w:tc>
          <w:tcPr>
            <w:tcW w:w="567" w:type="dxa"/>
            <w:vAlign w:val="center"/>
          </w:tcPr>
          <w:p w14:paraId="2F0AF91C" w14:textId="77777777" w:rsidR="00010834" w:rsidRPr="00194375" w:rsidRDefault="00010834" w:rsidP="00010834">
            <w:pPr>
              <w:jc w:val="center"/>
              <w:outlineLvl w:val="0"/>
              <w:rPr>
                <w:sz w:val="20"/>
                <w:szCs w:val="20"/>
              </w:rPr>
            </w:pPr>
            <w:r w:rsidRPr="00194375">
              <w:rPr>
                <w:sz w:val="20"/>
                <w:szCs w:val="20"/>
              </w:rPr>
              <w:t>4</w:t>
            </w:r>
          </w:p>
        </w:tc>
        <w:tc>
          <w:tcPr>
            <w:tcW w:w="4815" w:type="dxa"/>
            <w:vAlign w:val="center"/>
          </w:tcPr>
          <w:p w14:paraId="530380DC" w14:textId="77777777" w:rsidR="00010834" w:rsidRPr="00194375" w:rsidRDefault="00010834" w:rsidP="00010834">
            <w:pPr>
              <w:jc w:val="center"/>
              <w:outlineLvl w:val="0"/>
              <w:rPr>
                <w:sz w:val="20"/>
                <w:szCs w:val="20"/>
              </w:rPr>
            </w:pPr>
            <w:r w:rsidRPr="00194375">
              <w:rPr>
                <w:sz w:val="20"/>
                <w:szCs w:val="20"/>
              </w:rPr>
              <w:t>Участие Фонда в обеспечении сделки</w:t>
            </w:r>
          </w:p>
        </w:tc>
        <w:tc>
          <w:tcPr>
            <w:tcW w:w="4359" w:type="dxa"/>
            <w:vAlign w:val="center"/>
          </w:tcPr>
          <w:p w14:paraId="48736205" w14:textId="77777777" w:rsidR="00010834" w:rsidRPr="00194375" w:rsidRDefault="009D4D84" w:rsidP="00A57160">
            <w:pPr>
              <w:jc w:val="center"/>
              <w:outlineLvl w:val="0"/>
              <w:rPr>
                <w:sz w:val="20"/>
                <w:szCs w:val="20"/>
              </w:rPr>
            </w:pPr>
            <w:r w:rsidRPr="00194375">
              <w:rPr>
                <w:sz w:val="20"/>
                <w:szCs w:val="20"/>
              </w:rPr>
              <w:t>7</w:t>
            </w:r>
            <w:r w:rsidR="000A29E7" w:rsidRPr="00194375">
              <w:rPr>
                <w:sz w:val="20"/>
                <w:szCs w:val="20"/>
              </w:rPr>
              <w:t>0</w:t>
            </w:r>
            <w:r w:rsidR="00613A7F" w:rsidRPr="00194375">
              <w:rPr>
                <w:sz w:val="20"/>
                <w:szCs w:val="20"/>
              </w:rPr>
              <w:t xml:space="preserve">%, </w:t>
            </w:r>
            <w:proofErr w:type="spellStart"/>
            <w:r w:rsidR="00613A7F" w:rsidRPr="00194375">
              <w:rPr>
                <w:sz w:val="20"/>
                <w:szCs w:val="20"/>
              </w:rPr>
              <w:t>согарантия</w:t>
            </w:r>
            <w:proofErr w:type="spellEnd"/>
            <w:r w:rsidR="00613A7F" w:rsidRPr="00194375">
              <w:rPr>
                <w:sz w:val="20"/>
                <w:szCs w:val="20"/>
              </w:rPr>
              <w:t>: 70</w:t>
            </w:r>
            <w:r w:rsidRPr="00194375">
              <w:rPr>
                <w:sz w:val="20"/>
                <w:szCs w:val="20"/>
              </w:rPr>
              <w:t xml:space="preserve"> - 75</w:t>
            </w:r>
            <w:r w:rsidR="00613A7F" w:rsidRPr="00194375">
              <w:rPr>
                <w:sz w:val="20"/>
                <w:szCs w:val="20"/>
              </w:rPr>
              <w:t xml:space="preserve"> %</w:t>
            </w:r>
          </w:p>
        </w:tc>
      </w:tr>
      <w:tr w:rsidR="00010834" w:rsidRPr="00194375" w14:paraId="1462913C" w14:textId="77777777" w:rsidTr="00790E59">
        <w:trPr>
          <w:jc w:val="center"/>
        </w:trPr>
        <w:tc>
          <w:tcPr>
            <w:tcW w:w="567" w:type="dxa"/>
            <w:vAlign w:val="center"/>
          </w:tcPr>
          <w:p w14:paraId="24E97841" w14:textId="77777777" w:rsidR="00010834" w:rsidRPr="00194375" w:rsidRDefault="00010834" w:rsidP="00010834">
            <w:pPr>
              <w:jc w:val="center"/>
              <w:outlineLvl w:val="0"/>
              <w:rPr>
                <w:sz w:val="20"/>
                <w:szCs w:val="20"/>
              </w:rPr>
            </w:pPr>
            <w:r w:rsidRPr="00194375">
              <w:rPr>
                <w:sz w:val="20"/>
                <w:szCs w:val="20"/>
              </w:rPr>
              <w:t>5</w:t>
            </w:r>
          </w:p>
        </w:tc>
        <w:tc>
          <w:tcPr>
            <w:tcW w:w="4815" w:type="dxa"/>
            <w:vAlign w:val="center"/>
          </w:tcPr>
          <w:p w14:paraId="2BB72869" w14:textId="77777777" w:rsidR="00010834" w:rsidRPr="00194375" w:rsidRDefault="00010834" w:rsidP="00010834">
            <w:pPr>
              <w:jc w:val="center"/>
              <w:outlineLvl w:val="0"/>
              <w:rPr>
                <w:sz w:val="20"/>
                <w:szCs w:val="20"/>
              </w:rPr>
            </w:pPr>
            <w:r w:rsidRPr="00194375">
              <w:rPr>
                <w:sz w:val="20"/>
                <w:szCs w:val="20"/>
              </w:rPr>
              <w:t>Размер вознаграждения Фонда для торговой деятельности (в рамках Механизма), %</w:t>
            </w:r>
          </w:p>
        </w:tc>
        <w:tc>
          <w:tcPr>
            <w:tcW w:w="4359" w:type="dxa"/>
            <w:vAlign w:val="center"/>
          </w:tcPr>
          <w:p w14:paraId="2C9612F8" w14:textId="77777777" w:rsidR="00010834" w:rsidRPr="00194375" w:rsidRDefault="00C028F8">
            <w:pPr>
              <w:jc w:val="center"/>
              <w:outlineLvl w:val="0"/>
              <w:rPr>
                <w:sz w:val="20"/>
                <w:szCs w:val="20"/>
              </w:rPr>
            </w:pPr>
            <w:r w:rsidRPr="00194375">
              <w:rPr>
                <w:sz w:val="20"/>
                <w:szCs w:val="20"/>
              </w:rPr>
              <w:t xml:space="preserve"> </w:t>
            </w:r>
            <w:r w:rsidR="00613A7F" w:rsidRPr="00194375">
              <w:rPr>
                <w:sz w:val="20"/>
                <w:szCs w:val="20"/>
              </w:rPr>
              <w:t>1 %</w:t>
            </w:r>
          </w:p>
        </w:tc>
      </w:tr>
      <w:tr w:rsidR="00010834" w:rsidRPr="00194375" w14:paraId="2CEA5C0E" w14:textId="77777777" w:rsidTr="00790E59">
        <w:trPr>
          <w:jc w:val="center"/>
        </w:trPr>
        <w:tc>
          <w:tcPr>
            <w:tcW w:w="567" w:type="dxa"/>
            <w:vAlign w:val="center"/>
          </w:tcPr>
          <w:p w14:paraId="246A55CF" w14:textId="77777777" w:rsidR="00010834" w:rsidRPr="00194375" w:rsidRDefault="00010834" w:rsidP="00010834">
            <w:pPr>
              <w:jc w:val="center"/>
              <w:outlineLvl w:val="0"/>
              <w:rPr>
                <w:sz w:val="20"/>
                <w:szCs w:val="20"/>
              </w:rPr>
            </w:pPr>
            <w:r w:rsidRPr="00194375">
              <w:rPr>
                <w:sz w:val="20"/>
                <w:szCs w:val="20"/>
              </w:rPr>
              <w:t>6</w:t>
            </w:r>
          </w:p>
        </w:tc>
        <w:tc>
          <w:tcPr>
            <w:tcW w:w="4815" w:type="dxa"/>
            <w:vAlign w:val="center"/>
          </w:tcPr>
          <w:p w14:paraId="1E6AA3B8" w14:textId="77777777" w:rsidR="00010834" w:rsidRPr="00194375" w:rsidRDefault="00010834" w:rsidP="00010834">
            <w:pPr>
              <w:jc w:val="center"/>
              <w:outlineLvl w:val="0"/>
              <w:rPr>
                <w:sz w:val="20"/>
                <w:szCs w:val="20"/>
              </w:rPr>
            </w:pPr>
            <w:r w:rsidRPr="00194375">
              <w:rPr>
                <w:sz w:val="20"/>
                <w:szCs w:val="20"/>
              </w:rPr>
              <w:t>Размер вознаграждения Фонда для прочих видов деятельности (в рамках Механизма), %</w:t>
            </w:r>
          </w:p>
        </w:tc>
        <w:tc>
          <w:tcPr>
            <w:tcW w:w="4359" w:type="dxa"/>
            <w:vAlign w:val="center"/>
          </w:tcPr>
          <w:p w14:paraId="7C178230" w14:textId="77777777" w:rsidR="00010834" w:rsidRPr="00194375" w:rsidRDefault="00613A7F" w:rsidP="00010834">
            <w:pPr>
              <w:jc w:val="center"/>
              <w:outlineLvl w:val="0"/>
              <w:rPr>
                <w:sz w:val="20"/>
                <w:szCs w:val="20"/>
              </w:rPr>
            </w:pPr>
            <w:r w:rsidRPr="00194375">
              <w:rPr>
                <w:sz w:val="20"/>
                <w:szCs w:val="20"/>
              </w:rPr>
              <w:t>0,75 %</w:t>
            </w:r>
          </w:p>
        </w:tc>
      </w:tr>
      <w:tr w:rsidR="000F6079" w:rsidRPr="00194375" w14:paraId="64227F0A" w14:textId="77777777" w:rsidTr="00790E59">
        <w:trPr>
          <w:jc w:val="center"/>
        </w:trPr>
        <w:tc>
          <w:tcPr>
            <w:tcW w:w="567" w:type="dxa"/>
            <w:vAlign w:val="center"/>
          </w:tcPr>
          <w:p w14:paraId="35DA5F3A" w14:textId="77777777" w:rsidR="000F6079" w:rsidRPr="00194375" w:rsidRDefault="000F6079" w:rsidP="000F6079">
            <w:pPr>
              <w:jc w:val="center"/>
              <w:outlineLvl w:val="0"/>
              <w:rPr>
                <w:sz w:val="20"/>
                <w:szCs w:val="20"/>
              </w:rPr>
            </w:pPr>
            <w:r w:rsidRPr="00194375">
              <w:rPr>
                <w:sz w:val="20"/>
                <w:szCs w:val="20"/>
              </w:rPr>
              <w:t>7</w:t>
            </w:r>
          </w:p>
        </w:tc>
        <w:tc>
          <w:tcPr>
            <w:tcW w:w="4815" w:type="dxa"/>
            <w:vAlign w:val="center"/>
          </w:tcPr>
          <w:p w14:paraId="1583FB41" w14:textId="378C3406" w:rsidR="000F6079" w:rsidRPr="00194375" w:rsidRDefault="000F6079" w:rsidP="000F6079">
            <w:pPr>
              <w:jc w:val="center"/>
              <w:outlineLvl w:val="0"/>
              <w:rPr>
                <w:sz w:val="20"/>
                <w:szCs w:val="20"/>
              </w:rPr>
            </w:pPr>
            <w:r w:rsidRPr="00194375">
              <w:rPr>
                <w:sz w:val="20"/>
                <w:szCs w:val="20"/>
              </w:rPr>
              <w:t xml:space="preserve">Предельный уровень рейтинга СМСП по методике </w:t>
            </w:r>
            <w:r w:rsidR="00C15902">
              <w:rPr>
                <w:sz w:val="20"/>
                <w:szCs w:val="20"/>
              </w:rPr>
              <w:t>Банка-партнера</w:t>
            </w:r>
          </w:p>
        </w:tc>
        <w:tc>
          <w:tcPr>
            <w:tcW w:w="4359" w:type="dxa"/>
            <w:vAlign w:val="center"/>
          </w:tcPr>
          <w:p w14:paraId="034AB586" w14:textId="77777777" w:rsidR="000F6079" w:rsidRPr="00194375" w:rsidRDefault="000F6079" w:rsidP="002A0260">
            <w:pPr>
              <w:jc w:val="center"/>
              <w:outlineLvl w:val="0"/>
              <w:rPr>
                <w:sz w:val="20"/>
                <w:szCs w:val="20"/>
              </w:rPr>
            </w:pPr>
            <w:r w:rsidRPr="00194375">
              <w:rPr>
                <w:sz w:val="20"/>
                <w:szCs w:val="20"/>
              </w:rPr>
              <w:t xml:space="preserve">В </w:t>
            </w:r>
            <w:r w:rsidR="002D788D" w:rsidRPr="00194375">
              <w:rPr>
                <w:sz w:val="20"/>
                <w:szCs w:val="20"/>
              </w:rPr>
              <w:t>соответствии с условиями</w:t>
            </w:r>
            <w:r w:rsidR="002A0260" w:rsidRPr="00194375">
              <w:rPr>
                <w:sz w:val="20"/>
                <w:szCs w:val="20"/>
              </w:rPr>
              <w:t xml:space="preserve">, установленными в решении Правления </w:t>
            </w:r>
            <w:r w:rsidRPr="00194375">
              <w:rPr>
                <w:sz w:val="20"/>
                <w:szCs w:val="20"/>
              </w:rPr>
              <w:t xml:space="preserve">АО «Корпорация «МСП» </w:t>
            </w:r>
            <w:r w:rsidR="002A0260" w:rsidRPr="00194375">
              <w:rPr>
                <w:sz w:val="20"/>
                <w:szCs w:val="20"/>
              </w:rPr>
              <w:t>о допуске банка-партнера к Механизму</w:t>
            </w:r>
            <w:r w:rsidRPr="00194375">
              <w:rPr>
                <w:sz w:val="20"/>
                <w:szCs w:val="20"/>
              </w:rPr>
              <w:t xml:space="preserve"> </w:t>
            </w:r>
          </w:p>
        </w:tc>
      </w:tr>
      <w:tr w:rsidR="00010834" w:rsidRPr="00194375" w14:paraId="7E54C9F8" w14:textId="77777777" w:rsidTr="00790E59">
        <w:trPr>
          <w:jc w:val="center"/>
        </w:trPr>
        <w:tc>
          <w:tcPr>
            <w:tcW w:w="567" w:type="dxa"/>
            <w:vAlign w:val="center"/>
          </w:tcPr>
          <w:p w14:paraId="1A7086AB" w14:textId="77777777" w:rsidR="00010834" w:rsidRPr="00194375" w:rsidRDefault="00010834" w:rsidP="00010834">
            <w:pPr>
              <w:jc w:val="center"/>
              <w:outlineLvl w:val="0"/>
              <w:rPr>
                <w:sz w:val="20"/>
                <w:szCs w:val="20"/>
              </w:rPr>
            </w:pPr>
            <w:r w:rsidRPr="00194375">
              <w:rPr>
                <w:sz w:val="20"/>
                <w:szCs w:val="20"/>
              </w:rPr>
              <w:t>8</w:t>
            </w:r>
          </w:p>
        </w:tc>
        <w:tc>
          <w:tcPr>
            <w:tcW w:w="4815" w:type="dxa"/>
            <w:vAlign w:val="center"/>
          </w:tcPr>
          <w:p w14:paraId="69EB050B" w14:textId="77777777" w:rsidR="00010834" w:rsidRPr="00194375" w:rsidRDefault="00010834" w:rsidP="00010834">
            <w:pPr>
              <w:jc w:val="center"/>
              <w:outlineLvl w:val="0"/>
              <w:rPr>
                <w:sz w:val="20"/>
                <w:szCs w:val="20"/>
              </w:rPr>
            </w:pPr>
            <w:r w:rsidRPr="00194375">
              <w:rPr>
                <w:sz w:val="20"/>
                <w:szCs w:val="20"/>
              </w:rPr>
              <w:t xml:space="preserve">Предельный уровень </w:t>
            </w:r>
            <w:proofErr w:type="spellStart"/>
            <w:r w:rsidRPr="00194375">
              <w:rPr>
                <w:sz w:val="20"/>
                <w:szCs w:val="20"/>
              </w:rPr>
              <w:t>дефолтности</w:t>
            </w:r>
            <w:proofErr w:type="spellEnd"/>
            <w:r w:rsidRPr="00194375">
              <w:rPr>
                <w:sz w:val="20"/>
                <w:szCs w:val="20"/>
              </w:rPr>
              <w:t xml:space="preserve"> портфеля Фонда по Механизму</w:t>
            </w:r>
            <w:r w:rsidR="0042501A" w:rsidRPr="00194375">
              <w:rPr>
                <w:sz w:val="20"/>
                <w:szCs w:val="20"/>
              </w:rPr>
              <w:t>, %</w:t>
            </w:r>
            <w:r w:rsidRPr="00194375">
              <w:rPr>
                <w:sz w:val="20"/>
                <w:szCs w:val="20"/>
              </w:rPr>
              <w:t xml:space="preserve"> </w:t>
            </w:r>
          </w:p>
        </w:tc>
        <w:tc>
          <w:tcPr>
            <w:tcW w:w="4359" w:type="dxa"/>
            <w:vAlign w:val="center"/>
          </w:tcPr>
          <w:p w14:paraId="782D564D" w14:textId="77777777" w:rsidR="00010834" w:rsidRPr="00194375" w:rsidRDefault="00613A7F" w:rsidP="00010834">
            <w:pPr>
              <w:jc w:val="center"/>
              <w:outlineLvl w:val="0"/>
              <w:rPr>
                <w:sz w:val="20"/>
                <w:szCs w:val="20"/>
              </w:rPr>
            </w:pPr>
            <w:r w:rsidRPr="00194375">
              <w:rPr>
                <w:sz w:val="20"/>
                <w:szCs w:val="20"/>
              </w:rPr>
              <w:t>3 %</w:t>
            </w:r>
          </w:p>
        </w:tc>
      </w:tr>
      <w:tr w:rsidR="00010834" w:rsidRPr="00194375" w14:paraId="44DCC163" w14:textId="77777777" w:rsidTr="00FD17D7">
        <w:trPr>
          <w:jc w:val="center"/>
        </w:trPr>
        <w:tc>
          <w:tcPr>
            <w:tcW w:w="567" w:type="dxa"/>
            <w:vAlign w:val="center"/>
          </w:tcPr>
          <w:p w14:paraId="15D534FE" w14:textId="77777777" w:rsidR="00010834" w:rsidRPr="00194375" w:rsidRDefault="00010834" w:rsidP="00010834">
            <w:pPr>
              <w:jc w:val="center"/>
              <w:outlineLvl w:val="0"/>
              <w:rPr>
                <w:sz w:val="20"/>
                <w:szCs w:val="20"/>
              </w:rPr>
            </w:pPr>
            <w:r w:rsidRPr="00194375">
              <w:rPr>
                <w:sz w:val="20"/>
                <w:szCs w:val="20"/>
              </w:rPr>
              <w:t>9</w:t>
            </w:r>
          </w:p>
        </w:tc>
        <w:tc>
          <w:tcPr>
            <w:tcW w:w="4815" w:type="dxa"/>
            <w:vAlign w:val="center"/>
          </w:tcPr>
          <w:p w14:paraId="2F5EBE87" w14:textId="77777777" w:rsidR="00010834" w:rsidRPr="00194375" w:rsidRDefault="0042501A" w:rsidP="00010834">
            <w:pPr>
              <w:jc w:val="center"/>
              <w:outlineLvl w:val="0"/>
              <w:rPr>
                <w:sz w:val="20"/>
                <w:szCs w:val="20"/>
              </w:rPr>
            </w:pPr>
            <w:r w:rsidRPr="00194375">
              <w:rPr>
                <w:sz w:val="20"/>
                <w:szCs w:val="20"/>
              </w:rPr>
              <w:t>Условия по целевой структуре рейтинга</w:t>
            </w:r>
          </w:p>
        </w:tc>
        <w:tc>
          <w:tcPr>
            <w:tcW w:w="4359" w:type="dxa"/>
            <w:tcBorders>
              <w:bottom w:val="single" w:sz="4" w:space="0" w:color="auto"/>
            </w:tcBorders>
            <w:vAlign w:val="center"/>
          </w:tcPr>
          <w:p w14:paraId="60C01B1B" w14:textId="77777777" w:rsidR="00A1017C" w:rsidRPr="00194375" w:rsidRDefault="002A0260" w:rsidP="000F6079">
            <w:pPr>
              <w:jc w:val="center"/>
              <w:outlineLvl w:val="0"/>
              <w:rPr>
                <w:sz w:val="20"/>
                <w:szCs w:val="20"/>
              </w:rPr>
            </w:pPr>
            <w:r w:rsidRPr="00194375">
              <w:rPr>
                <w:sz w:val="20"/>
                <w:szCs w:val="20"/>
              </w:rPr>
              <w:t>В соответствии с условиями, установленными в решении Правления АО «Корпорация «МСП» о допуске банка-партнера к Механизму</w:t>
            </w:r>
          </w:p>
        </w:tc>
      </w:tr>
      <w:tr w:rsidR="000A29E7" w:rsidRPr="00194375" w14:paraId="03C198F4" w14:textId="77777777" w:rsidTr="00FD17D7">
        <w:trPr>
          <w:jc w:val="center"/>
        </w:trPr>
        <w:tc>
          <w:tcPr>
            <w:tcW w:w="567" w:type="dxa"/>
            <w:vMerge w:val="restart"/>
            <w:vAlign w:val="center"/>
          </w:tcPr>
          <w:p w14:paraId="63F3BFFD" w14:textId="77777777" w:rsidR="000A29E7" w:rsidRPr="00194375" w:rsidRDefault="000A29E7" w:rsidP="00010834">
            <w:pPr>
              <w:jc w:val="center"/>
              <w:outlineLvl w:val="0"/>
              <w:rPr>
                <w:sz w:val="20"/>
                <w:szCs w:val="20"/>
              </w:rPr>
            </w:pPr>
            <w:r w:rsidRPr="00194375">
              <w:rPr>
                <w:sz w:val="20"/>
                <w:szCs w:val="20"/>
              </w:rPr>
              <w:t>10</w:t>
            </w:r>
          </w:p>
        </w:tc>
        <w:tc>
          <w:tcPr>
            <w:tcW w:w="4815" w:type="dxa"/>
            <w:vMerge w:val="restart"/>
            <w:vAlign w:val="center"/>
          </w:tcPr>
          <w:p w14:paraId="191942A0" w14:textId="77777777" w:rsidR="000A29E7" w:rsidRPr="00194375" w:rsidRDefault="000A29E7" w:rsidP="00DB12A2">
            <w:pPr>
              <w:jc w:val="center"/>
              <w:outlineLvl w:val="0"/>
              <w:rPr>
                <w:sz w:val="20"/>
                <w:szCs w:val="20"/>
              </w:rPr>
            </w:pPr>
            <w:r w:rsidRPr="00194375">
              <w:rPr>
                <w:sz w:val="20"/>
                <w:szCs w:val="20"/>
              </w:rPr>
              <w:t>Перечень документов от СМСП</w:t>
            </w:r>
          </w:p>
        </w:tc>
        <w:tc>
          <w:tcPr>
            <w:tcW w:w="4359" w:type="dxa"/>
            <w:tcBorders>
              <w:bottom w:val="nil"/>
            </w:tcBorders>
            <w:vAlign w:val="center"/>
          </w:tcPr>
          <w:p w14:paraId="791DB54F" w14:textId="77777777" w:rsidR="000A29E7" w:rsidRPr="00194375" w:rsidRDefault="002A0260" w:rsidP="002A0260">
            <w:pPr>
              <w:jc w:val="center"/>
              <w:outlineLvl w:val="0"/>
              <w:rPr>
                <w:sz w:val="20"/>
                <w:szCs w:val="20"/>
              </w:rPr>
            </w:pPr>
            <w:r w:rsidRPr="00194375">
              <w:rPr>
                <w:sz w:val="20"/>
                <w:szCs w:val="20"/>
              </w:rPr>
              <w:t>В соответствии с приложением 8 Правил взаимодействия банков с акционерным обществом «Федеральная корпорация по развитию малого и среднего предпринимательства» при их отборе и предоставлении независимых гарантий.</w:t>
            </w:r>
          </w:p>
        </w:tc>
      </w:tr>
      <w:tr w:rsidR="000A29E7" w:rsidRPr="00194375" w14:paraId="0DF75AA9" w14:textId="77777777" w:rsidTr="00FD17D7">
        <w:trPr>
          <w:jc w:val="center"/>
        </w:trPr>
        <w:tc>
          <w:tcPr>
            <w:tcW w:w="567" w:type="dxa"/>
            <w:vMerge/>
            <w:vAlign w:val="center"/>
          </w:tcPr>
          <w:p w14:paraId="351588DB" w14:textId="77777777" w:rsidR="000A29E7" w:rsidRPr="00194375" w:rsidRDefault="000A29E7" w:rsidP="00010834">
            <w:pPr>
              <w:jc w:val="center"/>
              <w:outlineLvl w:val="0"/>
              <w:rPr>
                <w:sz w:val="20"/>
                <w:szCs w:val="20"/>
              </w:rPr>
            </w:pPr>
          </w:p>
        </w:tc>
        <w:tc>
          <w:tcPr>
            <w:tcW w:w="4815" w:type="dxa"/>
            <w:vMerge/>
            <w:vAlign w:val="center"/>
          </w:tcPr>
          <w:p w14:paraId="16300696" w14:textId="77777777" w:rsidR="000A29E7" w:rsidRPr="00194375" w:rsidRDefault="000A29E7" w:rsidP="00010834">
            <w:pPr>
              <w:jc w:val="center"/>
              <w:outlineLvl w:val="0"/>
              <w:rPr>
                <w:sz w:val="20"/>
                <w:szCs w:val="20"/>
              </w:rPr>
            </w:pPr>
          </w:p>
        </w:tc>
        <w:tc>
          <w:tcPr>
            <w:tcW w:w="4359" w:type="dxa"/>
            <w:tcBorders>
              <w:top w:val="nil"/>
            </w:tcBorders>
            <w:vAlign w:val="center"/>
          </w:tcPr>
          <w:p w14:paraId="4B7977D7" w14:textId="77777777" w:rsidR="0013680B" w:rsidRPr="00194375" w:rsidRDefault="0013680B">
            <w:pPr>
              <w:jc w:val="center"/>
              <w:outlineLvl w:val="0"/>
              <w:rPr>
                <w:sz w:val="20"/>
                <w:szCs w:val="20"/>
              </w:rPr>
            </w:pPr>
          </w:p>
        </w:tc>
      </w:tr>
      <w:tr w:rsidR="00010834" w:rsidRPr="00194375" w14:paraId="0B6972CC" w14:textId="77777777" w:rsidTr="00790E59">
        <w:trPr>
          <w:jc w:val="center"/>
        </w:trPr>
        <w:tc>
          <w:tcPr>
            <w:tcW w:w="567" w:type="dxa"/>
            <w:vAlign w:val="center"/>
          </w:tcPr>
          <w:p w14:paraId="655DB9EB" w14:textId="77777777" w:rsidR="00010834" w:rsidRPr="00194375" w:rsidRDefault="00010834" w:rsidP="00010834">
            <w:pPr>
              <w:jc w:val="center"/>
              <w:outlineLvl w:val="0"/>
              <w:rPr>
                <w:sz w:val="20"/>
                <w:szCs w:val="20"/>
              </w:rPr>
            </w:pPr>
            <w:r w:rsidRPr="00194375">
              <w:rPr>
                <w:sz w:val="20"/>
                <w:szCs w:val="20"/>
              </w:rPr>
              <w:t>11</w:t>
            </w:r>
          </w:p>
        </w:tc>
        <w:tc>
          <w:tcPr>
            <w:tcW w:w="4815" w:type="dxa"/>
            <w:vAlign w:val="center"/>
          </w:tcPr>
          <w:p w14:paraId="57B252DF" w14:textId="77777777" w:rsidR="00010834" w:rsidRPr="00194375" w:rsidRDefault="0042501A" w:rsidP="0042501A">
            <w:pPr>
              <w:jc w:val="center"/>
              <w:outlineLvl w:val="0"/>
              <w:rPr>
                <w:sz w:val="20"/>
                <w:szCs w:val="20"/>
              </w:rPr>
            </w:pPr>
            <w:r w:rsidRPr="00194375">
              <w:rPr>
                <w:sz w:val="20"/>
                <w:szCs w:val="20"/>
              </w:rPr>
              <w:t>Срок рассмотрения заявки и принятия решения по заявке</w:t>
            </w:r>
          </w:p>
        </w:tc>
        <w:tc>
          <w:tcPr>
            <w:tcW w:w="4359" w:type="dxa"/>
            <w:vAlign w:val="center"/>
          </w:tcPr>
          <w:p w14:paraId="6F22216E" w14:textId="77777777" w:rsidR="00010834" w:rsidRPr="00194375" w:rsidRDefault="00A960A0" w:rsidP="006C2299">
            <w:pPr>
              <w:jc w:val="center"/>
              <w:outlineLvl w:val="0"/>
              <w:rPr>
                <w:sz w:val="20"/>
                <w:szCs w:val="20"/>
              </w:rPr>
            </w:pPr>
            <w:r w:rsidRPr="00194375">
              <w:rPr>
                <w:sz w:val="20"/>
                <w:szCs w:val="20"/>
              </w:rPr>
              <w:t>Не более 3-х рабочих дней</w:t>
            </w:r>
            <w:r w:rsidR="002A0260" w:rsidRPr="00194375">
              <w:rPr>
                <w:sz w:val="20"/>
                <w:szCs w:val="20"/>
              </w:rPr>
              <w:t xml:space="preserve"> со дня получения при условии предоставления полного комплекта документов со стороны банка-партнера (Фонд вправе приостановить течение указанного срока при возникновении дополнительных запросов со стороны подразделения безопасности и (или) юридического </w:t>
            </w:r>
            <w:r w:rsidR="008C27B8" w:rsidRPr="00194375">
              <w:rPr>
                <w:sz w:val="20"/>
                <w:szCs w:val="20"/>
              </w:rPr>
              <w:t>подразделения Фонда)</w:t>
            </w:r>
            <w:r w:rsidR="006C2299" w:rsidRPr="00194375">
              <w:rPr>
                <w:sz w:val="20"/>
                <w:szCs w:val="20"/>
              </w:rPr>
              <w:t xml:space="preserve"> </w:t>
            </w:r>
          </w:p>
        </w:tc>
      </w:tr>
      <w:tr w:rsidR="000F6079" w:rsidRPr="000F6079" w14:paraId="5EA13E07" w14:textId="77777777" w:rsidTr="00790E59">
        <w:trPr>
          <w:jc w:val="center"/>
        </w:trPr>
        <w:tc>
          <w:tcPr>
            <w:tcW w:w="567" w:type="dxa"/>
            <w:vAlign w:val="center"/>
          </w:tcPr>
          <w:p w14:paraId="6765BD12" w14:textId="77777777" w:rsidR="00010834" w:rsidRPr="00194375" w:rsidRDefault="00010834" w:rsidP="00010834">
            <w:pPr>
              <w:jc w:val="center"/>
              <w:outlineLvl w:val="0"/>
              <w:rPr>
                <w:sz w:val="20"/>
                <w:szCs w:val="20"/>
              </w:rPr>
            </w:pPr>
            <w:r w:rsidRPr="00194375">
              <w:rPr>
                <w:sz w:val="20"/>
                <w:szCs w:val="20"/>
              </w:rPr>
              <w:t>12</w:t>
            </w:r>
          </w:p>
        </w:tc>
        <w:tc>
          <w:tcPr>
            <w:tcW w:w="4815" w:type="dxa"/>
            <w:vAlign w:val="center"/>
          </w:tcPr>
          <w:p w14:paraId="451347E3" w14:textId="77777777" w:rsidR="00010834" w:rsidRPr="00194375" w:rsidRDefault="0042501A" w:rsidP="00010834">
            <w:pPr>
              <w:jc w:val="center"/>
              <w:outlineLvl w:val="0"/>
              <w:rPr>
                <w:sz w:val="20"/>
                <w:szCs w:val="20"/>
              </w:rPr>
            </w:pPr>
            <w:r w:rsidRPr="00194375">
              <w:rPr>
                <w:sz w:val="20"/>
                <w:szCs w:val="20"/>
              </w:rPr>
              <w:t>Предельные сроки предоставления поручительств</w:t>
            </w:r>
          </w:p>
        </w:tc>
        <w:tc>
          <w:tcPr>
            <w:tcW w:w="4359" w:type="dxa"/>
            <w:vAlign w:val="center"/>
          </w:tcPr>
          <w:p w14:paraId="0FB99BF8" w14:textId="77777777" w:rsidR="00010834" w:rsidRPr="00CD7335" w:rsidRDefault="00A960A0" w:rsidP="00A960A0">
            <w:pPr>
              <w:jc w:val="center"/>
              <w:outlineLvl w:val="0"/>
              <w:rPr>
                <w:sz w:val="20"/>
                <w:szCs w:val="20"/>
              </w:rPr>
            </w:pPr>
            <w:r w:rsidRPr="00194375">
              <w:rPr>
                <w:sz w:val="20"/>
                <w:szCs w:val="20"/>
              </w:rPr>
              <w:t>В соответствии с условиями, установленными АО «Корпорация «МСП»: срок кредита +120/60 дней; точная дата +120/60 дней</w:t>
            </w:r>
          </w:p>
        </w:tc>
      </w:tr>
    </w:tbl>
    <w:p w14:paraId="6AD57093" w14:textId="77777777" w:rsidR="00F100E9" w:rsidRDefault="00010834" w:rsidP="00DB12A2">
      <w:pPr>
        <w:outlineLvl w:val="0"/>
        <w:rPr>
          <w:sz w:val="26"/>
          <w:szCs w:val="26"/>
        </w:rPr>
      </w:pPr>
      <w:r w:rsidRPr="00DB12A2">
        <w:rPr>
          <w:sz w:val="26"/>
          <w:szCs w:val="26"/>
        </w:rPr>
        <w:t xml:space="preserve"> </w:t>
      </w:r>
    </w:p>
    <w:sectPr w:rsidR="00F100E9" w:rsidSect="006257AC">
      <w:headerReference w:type="even" r:id="rId8"/>
      <w:headerReference w:type="default" r:id="rId9"/>
      <w:footnotePr>
        <w:numRestart w:val="eachPage"/>
      </w:footnotePr>
      <w:pgSz w:w="11906" w:h="16838" w:code="9"/>
      <w:pgMar w:top="851" w:right="737" w:bottom="709"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8E0F1" w14:textId="77777777" w:rsidR="0051194E" w:rsidRDefault="0051194E">
      <w:r>
        <w:separator/>
      </w:r>
    </w:p>
  </w:endnote>
  <w:endnote w:type="continuationSeparator" w:id="0">
    <w:p w14:paraId="6FF343C0" w14:textId="77777777" w:rsidR="0051194E" w:rsidRDefault="00511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5105A" w14:textId="77777777" w:rsidR="0051194E" w:rsidRDefault="0051194E">
      <w:r>
        <w:separator/>
      </w:r>
    </w:p>
  </w:footnote>
  <w:footnote w:type="continuationSeparator" w:id="0">
    <w:p w14:paraId="0BBFB138" w14:textId="77777777" w:rsidR="0051194E" w:rsidRDefault="00511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A3A17" w14:textId="77777777" w:rsidR="008B3550" w:rsidRDefault="008B3550">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5A36AA2" w14:textId="77777777" w:rsidR="008B3550" w:rsidRDefault="008B3550">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B15FB" w14:textId="77777777" w:rsidR="008B3550" w:rsidRPr="00251601" w:rsidRDefault="008B3550">
    <w:pPr>
      <w:pStyle w:val="a6"/>
      <w:framePr w:wrap="around" w:vAnchor="text" w:hAnchor="margin" w:xAlign="right" w:y="1"/>
      <w:rPr>
        <w:rStyle w:val="a5"/>
        <w:sz w:val="22"/>
        <w:szCs w:val="22"/>
      </w:rPr>
    </w:pPr>
    <w:r w:rsidRPr="00251601">
      <w:rPr>
        <w:rStyle w:val="a5"/>
        <w:sz w:val="22"/>
        <w:szCs w:val="22"/>
      </w:rPr>
      <w:fldChar w:fldCharType="begin"/>
    </w:r>
    <w:r w:rsidRPr="00251601">
      <w:rPr>
        <w:rStyle w:val="a5"/>
        <w:sz w:val="22"/>
        <w:szCs w:val="22"/>
      </w:rPr>
      <w:instrText xml:space="preserve">PAGE  </w:instrText>
    </w:r>
    <w:r w:rsidRPr="00251601">
      <w:rPr>
        <w:rStyle w:val="a5"/>
        <w:sz w:val="22"/>
        <w:szCs w:val="22"/>
      </w:rPr>
      <w:fldChar w:fldCharType="separate"/>
    </w:r>
    <w:r>
      <w:rPr>
        <w:rStyle w:val="a5"/>
        <w:noProof/>
        <w:sz w:val="22"/>
        <w:szCs w:val="22"/>
      </w:rPr>
      <w:t>62</w:t>
    </w:r>
    <w:r w:rsidRPr="00251601">
      <w:rPr>
        <w:rStyle w:val="a5"/>
        <w:sz w:val="22"/>
        <w:szCs w:val="22"/>
      </w:rPr>
      <w:fldChar w:fldCharType="end"/>
    </w:r>
  </w:p>
  <w:p w14:paraId="52A7243C" w14:textId="77777777" w:rsidR="008B3550" w:rsidRDefault="008B3550">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5CF7"/>
    <w:multiLevelType w:val="hybridMultilevel"/>
    <w:tmpl w:val="F38CF04E"/>
    <w:lvl w:ilvl="0" w:tplc="4602481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AB03CB6"/>
    <w:multiLevelType w:val="hybridMultilevel"/>
    <w:tmpl w:val="6394B9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EEC19C4"/>
    <w:multiLevelType w:val="hybridMultilevel"/>
    <w:tmpl w:val="28780D00"/>
    <w:lvl w:ilvl="0" w:tplc="DD8A70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89B331D"/>
    <w:multiLevelType w:val="multilevel"/>
    <w:tmpl w:val="58922C7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956"/>
        </w:tabs>
        <w:ind w:left="956" w:hanging="720"/>
      </w:pPr>
      <w:rPr>
        <w:rFonts w:hint="default"/>
      </w:rPr>
    </w:lvl>
    <w:lvl w:ilvl="2">
      <w:start w:val="1"/>
      <w:numFmt w:val="decimal"/>
      <w:lvlText w:val="%1.%2.%3."/>
      <w:lvlJc w:val="left"/>
      <w:pPr>
        <w:tabs>
          <w:tab w:val="num" w:pos="1192"/>
        </w:tabs>
        <w:ind w:left="1192" w:hanging="720"/>
      </w:pPr>
      <w:rPr>
        <w:rFonts w:hint="default"/>
      </w:rPr>
    </w:lvl>
    <w:lvl w:ilvl="3">
      <w:start w:val="3"/>
      <w:numFmt w:val="decimal"/>
      <w:lvlText w:val="%1.%2.%3.%4."/>
      <w:lvlJc w:val="left"/>
      <w:pPr>
        <w:tabs>
          <w:tab w:val="num" w:pos="1428"/>
        </w:tabs>
        <w:ind w:left="1428" w:hanging="72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260"/>
        </w:tabs>
        <w:ind w:left="2260" w:hanging="108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092"/>
        </w:tabs>
        <w:ind w:left="3092" w:hanging="1440"/>
      </w:pPr>
      <w:rPr>
        <w:rFonts w:hint="default"/>
      </w:rPr>
    </w:lvl>
    <w:lvl w:ilvl="8">
      <w:start w:val="1"/>
      <w:numFmt w:val="decimal"/>
      <w:lvlText w:val="%1.%2.%3.%4.%5.%6.%7.%8.%9."/>
      <w:lvlJc w:val="left"/>
      <w:pPr>
        <w:tabs>
          <w:tab w:val="num" w:pos="3688"/>
        </w:tabs>
        <w:ind w:left="3688" w:hanging="1800"/>
      </w:pPr>
      <w:rPr>
        <w:rFonts w:hint="default"/>
      </w:rPr>
    </w:lvl>
  </w:abstractNum>
  <w:abstractNum w:abstractNumId="4" w15:restartNumberingAfterBreak="0">
    <w:nsid w:val="3F393B4A"/>
    <w:multiLevelType w:val="hybridMultilevel"/>
    <w:tmpl w:val="80D276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F6308FB"/>
    <w:multiLevelType w:val="hybridMultilevel"/>
    <w:tmpl w:val="28780D00"/>
    <w:lvl w:ilvl="0" w:tplc="DD8A702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7C76A23"/>
    <w:multiLevelType w:val="hybridMultilevel"/>
    <w:tmpl w:val="1F7072BC"/>
    <w:lvl w:ilvl="0" w:tplc="8DBCDB56">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4EC4072A"/>
    <w:multiLevelType w:val="hybridMultilevel"/>
    <w:tmpl w:val="4D7038F4"/>
    <w:lvl w:ilvl="0" w:tplc="0832D0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01B6705"/>
    <w:multiLevelType w:val="multilevel"/>
    <w:tmpl w:val="F8207048"/>
    <w:lvl w:ilvl="0">
      <w:start w:val="2"/>
      <w:numFmt w:val="decimal"/>
      <w:lvlText w:val="%1"/>
      <w:lvlJc w:val="left"/>
      <w:pPr>
        <w:ind w:left="465" w:hanging="465"/>
      </w:pPr>
      <w:rPr>
        <w:rFonts w:hint="default"/>
      </w:rPr>
    </w:lvl>
    <w:lvl w:ilvl="1">
      <w:start w:val="2"/>
      <w:numFmt w:val="decimal"/>
      <w:lvlText w:val="%1.%2"/>
      <w:lvlJc w:val="left"/>
      <w:pPr>
        <w:ind w:left="735" w:hanging="465"/>
      </w:pPr>
      <w:rPr>
        <w:rFonts w:hint="default"/>
      </w:rPr>
    </w:lvl>
    <w:lvl w:ilvl="2">
      <w:start w:val="7"/>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9" w15:restartNumberingAfterBreak="0">
    <w:nsid w:val="58EB01B3"/>
    <w:multiLevelType w:val="singleLevel"/>
    <w:tmpl w:val="048EFFD0"/>
    <w:lvl w:ilvl="0">
      <w:start w:val="1"/>
      <w:numFmt w:val="decimal"/>
      <w:lvlText w:val="%1)"/>
      <w:lvlJc w:val="left"/>
      <w:pPr>
        <w:tabs>
          <w:tab w:val="num" w:pos="927"/>
        </w:tabs>
        <w:ind w:left="927" w:hanging="360"/>
      </w:pPr>
      <w:rPr>
        <w:rFonts w:hint="default"/>
      </w:rPr>
    </w:lvl>
  </w:abstractNum>
  <w:abstractNum w:abstractNumId="10" w15:restartNumberingAfterBreak="0">
    <w:nsid w:val="598211D4"/>
    <w:multiLevelType w:val="hybridMultilevel"/>
    <w:tmpl w:val="6F72C10E"/>
    <w:lvl w:ilvl="0" w:tplc="876CE52C">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1" w15:restartNumberingAfterBreak="0">
    <w:nsid w:val="6325547F"/>
    <w:multiLevelType w:val="hybridMultilevel"/>
    <w:tmpl w:val="6F72C10E"/>
    <w:lvl w:ilvl="0" w:tplc="876CE52C">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2" w15:restartNumberingAfterBreak="0">
    <w:nsid w:val="64AA1AB0"/>
    <w:multiLevelType w:val="hybridMultilevel"/>
    <w:tmpl w:val="1D6883D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8B24DB4"/>
    <w:multiLevelType w:val="hybridMultilevel"/>
    <w:tmpl w:val="E6840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6740AA0"/>
    <w:multiLevelType w:val="hybridMultilevel"/>
    <w:tmpl w:val="E4D07FDE"/>
    <w:lvl w:ilvl="0" w:tplc="FEF8FFF4">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A7F2CD8"/>
    <w:multiLevelType w:val="hybridMultilevel"/>
    <w:tmpl w:val="4BAA2722"/>
    <w:lvl w:ilvl="0" w:tplc="E77C1FC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590E7B"/>
    <w:multiLevelType w:val="multilevel"/>
    <w:tmpl w:val="5F14F5EC"/>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E6119C4"/>
    <w:multiLevelType w:val="hybridMultilevel"/>
    <w:tmpl w:val="50ECBF3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7"/>
  </w:num>
  <w:num w:numId="2">
    <w:abstractNumId w:val="1"/>
  </w:num>
  <w:num w:numId="3">
    <w:abstractNumId w:val="9"/>
  </w:num>
  <w:num w:numId="4">
    <w:abstractNumId w:val="0"/>
  </w:num>
  <w:num w:numId="5">
    <w:abstractNumId w:val="6"/>
  </w:num>
  <w:num w:numId="6">
    <w:abstractNumId w:val="3"/>
  </w:num>
  <w:num w:numId="7">
    <w:abstractNumId w:val="14"/>
  </w:num>
  <w:num w:numId="8">
    <w:abstractNumId w:val="4"/>
  </w:num>
  <w:num w:numId="9">
    <w:abstractNumId w:val="12"/>
  </w:num>
  <w:num w:numId="10">
    <w:abstractNumId w:val="13"/>
  </w:num>
  <w:num w:numId="11">
    <w:abstractNumId w:val="8"/>
  </w:num>
  <w:num w:numId="12">
    <w:abstractNumId w:val="16"/>
  </w:num>
  <w:num w:numId="13">
    <w:abstractNumId w:val="7"/>
  </w:num>
  <w:num w:numId="14">
    <w:abstractNumId w:val="15"/>
  </w:num>
  <w:num w:numId="15">
    <w:abstractNumId w:val="10"/>
  </w:num>
  <w:num w:numId="16">
    <w:abstractNumId w:val="11"/>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F16"/>
    <w:rsid w:val="00000CC3"/>
    <w:rsid w:val="00000D80"/>
    <w:rsid w:val="00004AB6"/>
    <w:rsid w:val="00005834"/>
    <w:rsid w:val="000060C6"/>
    <w:rsid w:val="00010834"/>
    <w:rsid w:val="00011E67"/>
    <w:rsid w:val="00012647"/>
    <w:rsid w:val="000128CA"/>
    <w:rsid w:val="00013865"/>
    <w:rsid w:val="00014BB4"/>
    <w:rsid w:val="000157C1"/>
    <w:rsid w:val="0001679E"/>
    <w:rsid w:val="00020EDD"/>
    <w:rsid w:val="0002363B"/>
    <w:rsid w:val="00026354"/>
    <w:rsid w:val="000265A2"/>
    <w:rsid w:val="00026ADB"/>
    <w:rsid w:val="00026D95"/>
    <w:rsid w:val="000270A0"/>
    <w:rsid w:val="000319F1"/>
    <w:rsid w:val="000338F6"/>
    <w:rsid w:val="000349D7"/>
    <w:rsid w:val="0003793A"/>
    <w:rsid w:val="00042566"/>
    <w:rsid w:val="00042950"/>
    <w:rsid w:val="00042DD0"/>
    <w:rsid w:val="0004475B"/>
    <w:rsid w:val="00045D80"/>
    <w:rsid w:val="0004651D"/>
    <w:rsid w:val="00046CD6"/>
    <w:rsid w:val="00050272"/>
    <w:rsid w:val="00052D08"/>
    <w:rsid w:val="0005348C"/>
    <w:rsid w:val="00056CDB"/>
    <w:rsid w:val="0005746B"/>
    <w:rsid w:val="0006027C"/>
    <w:rsid w:val="00061404"/>
    <w:rsid w:val="00061F09"/>
    <w:rsid w:val="00066247"/>
    <w:rsid w:val="00067A80"/>
    <w:rsid w:val="00070CF2"/>
    <w:rsid w:val="000729AD"/>
    <w:rsid w:val="00073E96"/>
    <w:rsid w:val="000745DF"/>
    <w:rsid w:val="00074C89"/>
    <w:rsid w:val="0008291A"/>
    <w:rsid w:val="00092A5E"/>
    <w:rsid w:val="00097EB2"/>
    <w:rsid w:val="000A1D5B"/>
    <w:rsid w:val="000A29E7"/>
    <w:rsid w:val="000A2A41"/>
    <w:rsid w:val="000A3B59"/>
    <w:rsid w:val="000A547D"/>
    <w:rsid w:val="000A5872"/>
    <w:rsid w:val="000A63AE"/>
    <w:rsid w:val="000A6D06"/>
    <w:rsid w:val="000A6D73"/>
    <w:rsid w:val="000B063F"/>
    <w:rsid w:val="000B0D32"/>
    <w:rsid w:val="000B0E24"/>
    <w:rsid w:val="000B445D"/>
    <w:rsid w:val="000B5DD1"/>
    <w:rsid w:val="000B6CD4"/>
    <w:rsid w:val="000C0030"/>
    <w:rsid w:val="000C1F69"/>
    <w:rsid w:val="000C7313"/>
    <w:rsid w:val="000C7CC3"/>
    <w:rsid w:val="000E3EA9"/>
    <w:rsid w:val="000E708F"/>
    <w:rsid w:val="000F1D55"/>
    <w:rsid w:val="000F2997"/>
    <w:rsid w:val="000F6079"/>
    <w:rsid w:val="000F6F5C"/>
    <w:rsid w:val="00101898"/>
    <w:rsid w:val="001069AA"/>
    <w:rsid w:val="00110BF4"/>
    <w:rsid w:val="001130BD"/>
    <w:rsid w:val="00113C49"/>
    <w:rsid w:val="00114A79"/>
    <w:rsid w:val="0011532D"/>
    <w:rsid w:val="00116F63"/>
    <w:rsid w:val="0011768A"/>
    <w:rsid w:val="00120205"/>
    <w:rsid w:val="00122422"/>
    <w:rsid w:val="00125419"/>
    <w:rsid w:val="00126417"/>
    <w:rsid w:val="00126BA6"/>
    <w:rsid w:val="001346BA"/>
    <w:rsid w:val="0013680B"/>
    <w:rsid w:val="0014064D"/>
    <w:rsid w:val="00140F58"/>
    <w:rsid w:val="00141EE9"/>
    <w:rsid w:val="001424BD"/>
    <w:rsid w:val="0014725E"/>
    <w:rsid w:val="00151064"/>
    <w:rsid w:val="00151AB5"/>
    <w:rsid w:val="00161206"/>
    <w:rsid w:val="00164034"/>
    <w:rsid w:val="001647BA"/>
    <w:rsid w:val="00172172"/>
    <w:rsid w:val="00173D10"/>
    <w:rsid w:val="00174D83"/>
    <w:rsid w:val="001762AE"/>
    <w:rsid w:val="001773D9"/>
    <w:rsid w:val="001820F0"/>
    <w:rsid w:val="0018693E"/>
    <w:rsid w:val="00190A76"/>
    <w:rsid w:val="00190BF5"/>
    <w:rsid w:val="00193CC0"/>
    <w:rsid w:val="00194375"/>
    <w:rsid w:val="001967E9"/>
    <w:rsid w:val="00196AEE"/>
    <w:rsid w:val="001A0A84"/>
    <w:rsid w:val="001A4D81"/>
    <w:rsid w:val="001A6B54"/>
    <w:rsid w:val="001B0335"/>
    <w:rsid w:val="001B16D6"/>
    <w:rsid w:val="001B3CB2"/>
    <w:rsid w:val="001B6430"/>
    <w:rsid w:val="001B7122"/>
    <w:rsid w:val="001C2EB8"/>
    <w:rsid w:val="001C45A6"/>
    <w:rsid w:val="001C5713"/>
    <w:rsid w:val="001D01F9"/>
    <w:rsid w:val="001D130D"/>
    <w:rsid w:val="001D1792"/>
    <w:rsid w:val="001D306E"/>
    <w:rsid w:val="001D3BDE"/>
    <w:rsid w:val="001D47E1"/>
    <w:rsid w:val="001E0235"/>
    <w:rsid w:val="001E16CC"/>
    <w:rsid w:val="001E1A01"/>
    <w:rsid w:val="001E26CE"/>
    <w:rsid w:val="001E3F08"/>
    <w:rsid w:val="001E48A9"/>
    <w:rsid w:val="001E5C44"/>
    <w:rsid w:val="001E6072"/>
    <w:rsid w:val="001E65D4"/>
    <w:rsid w:val="001E7370"/>
    <w:rsid w:val="001F4BDB"/>
    <w:rsid w:val="001F5118"/>
    <w:rsid w:val="001F66F3"/>
    <w:rsid w:val="00200E02"/>
    <w:rsid w:val="00201A43"/>
    <w:rsid w:val="00203B39"/>
    <w:rsid w:val="0020492D"/>
    <w:rsid w:val="0020626F"/>
    <w:rsid w:val="002102BB"/>
    <w:rsid w:val="00211DE5"/>
    <w:rsid w:val="00211E09"/>
    <w:rsid w:val="00213950"/>
    <w:rsid w:val="00213F89"/>
    <w:rsid w:val="00215A4C"/>
    <w:rsid w:val="00217264"/>
    <w:rsid w:val="002200FA"/>
    <w:rsid w:val="0022129B"/>
    <w:rsid w:val="00221EDD"/>
    <w:rsid w:val="002245A0"/>
    <w:rsid w:val="002252C8"/>
    <w:rsid w:val="002254D3"/>
    <w:rsid w:val="002260CD"/>
    <w:rsid w:val="0022665C"/>
    <w:rsid w:val="00230FB1"/>
    <w:rsid w:val="00231378"/>
    <w:rsid w:val="002314F2"/>
    <w:rsid w:val="00234658"/>
    <w:rsid w:val="002351F0"/>
    <w:rsid w:val="00235F8B"/>
    <w:rsid w:val="002369F3"/>
    <w:rsid w:val="00237256"/>
    <w:rsid w:val="00244FD3"/>
    <w:rsid w:val="00247A1E"/>
    <w:rsid w:val="00247AEA"/>
    <w:rsid w:val="00247AFA"/>
    <w:rsid w:val="00247CA2"/>
    <w:rsid w:val="00251601"/>
    <w:rsid w:val="00251679"/>
    <w:rsid w:val="00252170"/>
    <w:rsid w:val="002522A4"/>
    <w:rsid w:val="00256BB8"/>
    <w:rsid w:val="0026011D"/>
    <w:rsid w:val="00264E70"/>
    <w:rsid w:val="00265AE8"/>
    <w:rsid w:val="002664CE"/>
    <w:rsid w:val="00266A68"/>
    <w:rsid w:val="00267C83"/>
    <w:rsid w:val="002736E8"/>
    <w:rsid w:val="00273D3B"/>
    <w:rsid w:val="002744E4"/>
    <w:rsid w:val="00277DD5"/>
    <w:rsid w:val="002803DF"/>
    <w:rsid w:val="0028125A"/>
    <w:rsid w:val="00283CB1"/>
    <w:rsid w:val="00283D25"/>
    <w:rsid w:val="00285F40"/>
    <w:rsid w:val="002861E5"/>
    <w:rsid w:val="0029026B"/>
    <w:rsid w:val="00290565"/>
    <w:rsid w:val="00290BA5"/>
    <w:rsid w:val="0029135A"/>
    <w:rsid w:val="00292D0D"/>
    <w:rsid w:val="00293B12"/>
    <w:rsid w:val="00296C77"/>
    <w:rsid w:val="002A0260"/>
    <w:rsid w:val="002A59EE"/>
    <w:rsid w:val="002A7486"/>
    <w:rsid w:val="002A78CB"/>
    <w:rsid w:val="002B3374"/>
    <w:rsid w:val="002B554E"/>
    <w:rsid w:val="002B6292"/>
    <w:rsid w:val="002C0728"/>
    <w:rsid w:val="002C08D6"/>
    <w:rsid w:val="002C24E5"/>
    <w:rsid w:val="002C313D"/>
    <w:rsid w:val="002C3601"/>
    <w:rsid w:val="002C4DF1"/>
    <w:rsid w:val="002C7192"/>
    <w:rsid w:val="002D00A6"/>
    <w:rsid w:val="002D08D0"/>
    <w:rsid w:val="002D591B"/>
    <w:rsid w:val="002D63F9"/>
    <w:rsid w:val="002D788D"/>
    <w:rsid w:val="002E038B"/>
    <w:rsid w:val="002E10E1"/>
    <w:rsid w:val="002E2B7A"/>
    <w:rsid w:val="002E2C5D"/>
    <w:rsid w:val="002F1EB4"/>
    <w:rsid w:val="00300EDA"/>
    <w:rsid w:val="00301506"/>
    <w:rsid w:val="00301C8B"/>
    <w:rsid w:val="00302F6D"/>
    <w:rsid w:val="00304B1D"/>
    <w:rsid w:val="0030620C"/>
    <w:rsid w:val="00306534"/>
    <w:rsid w:val="003071A3"/>
    <w:rsid w:val="00312A52"/>
    <w:rsid w:val="00315D58"/>
    <w:rsid w:val="00316207"/>
    <w:rsid w:val="003164C7"/>
    <w:rsid w:val="0032059E"/>
    <w:rsid w:val="003206E5"/>
    <w:rsid w:val="00320B63"/>
    <w:rsid w:val="00322008"/>
    <w:rsid w:val="00322DC6"/>
    <w:rsid w:val="00326877"/>
    <w:rsid w:val="00326A3C"/>
    <w:rsid w:val="003308D6"/>
    <w:rsid w:val="00331F6B"/>
    <w:rsid w:val="00332725"/>
    <w:rsid w:val="00335D49"/>
    <w:rsid w:val="00335FE3"/>
    <w:rsid w:val="0033657B"/>
    <w:rsid w:val="00336741"/>
    <w:rsid w:val="00337F72"/>
    <w:rsid w:val="003416D9"/>
    <w:rsid w:val="00344DD2"/>
    <w:rsid w:val="00345136"/>
    <w:rsid w:val="00350A1B"/>
    <w:rsid w:val="00354960"/>
    <w:rsid w:val="0035687B"/>
    <w:rsid w:val="00357EEF"/>
    <w:rsid w:val="00360FD6"/>
    <w:rsid w:val="0036117E"/>
    <w:rsid w:val="003619F6"/>
    <w:rsid w:val="0036447A"/>
    <w:rsid w:val="00364C58"/>
    <w:rsid w:val="00365358"/>
    <w:rsid w:val="0036772E"/>
    <w:rsid w:val="003706B5"/>
    <w:rsid w:val="00370AB7"/>
    <w:rsid w:val="00371113"/>
    <w:rsid w:val="00377AC5"/>
    <w:rsid w:val="00377D10"/>
    <w:rsid w:val="003803FD"/>
    <w:rsid w:val="0038581E"/>
    <w:rsid w:val="00386208"/>
    <w:rsid w:val="00391C9B"/>
    <w:rsid w:val="003924FC"/>
    <w:rsid w:val="003926B8"/>
    <w:rsid w:val="00397059"/>
    <w:rsid w:val="003A40B6"/>
    <w:rsid w:val="003A4A5D"/>
    <w:rsid w:val="003A5BF6"/>
    <w:rsid w:val="003A5E60"/>
    <w:rsid w:val="003A6BAF"/>
    <w:rsid w:val="003A70B6"/>
    <w:rsid w:val="003A7452"/>
    <w:rsid w:val="003A76CC"/>
    <w:rsid w:val="003B08B9"/>
    <w:rsid w:val="003B0C29"/>
    <w:rsid w:val="003B3562"/>
    <w:rsid w:val="003B40DC"/>
    <w:rsid w:val="003B52A7"/>
    <w:rsid w:val="003B5616"/>
    <w:rsid w:val="003B6511"/>
    <w:rsid w:val="003B754F"/>
    <w:rsid w:val="003C0763"/>
    <w:rsid w:val="003C30FC"/>
    <w:rsid w:val="003C3CA6"/>
    <w:rsid w:val="003C73FB"/>
    <w:rsid w:val="003D1EEB"/>
    <w:rsid w:val="003D404C"/>
    <w:rsid w:val="003D591C"/>
    <w:rsid w:val="003D7426"/>
    <w:rsid w:val="003E5290"/>
    <w:rsid w:val="003E6EB0"/>
    <w:rsid w:val="003E7802"/>
    <w:rsid w:val="003F2936"/>
    <w:rsid w:val="003F42A1"/>
    <w:rsid w:val="003F6655"/>
    <w:rsid w:val="003F69A3"/>
    <w:rsid w:val="003F7218"/>
    <w:rsid w:val="003F7A25"/>
    <w:rsid w:val="00401266"/>
    <w:rsid w:val="00401722"/>
    <w:rsid w:val="004029B0"/>
    <w:rsid w:val="004068B7"/>
    <w:rsid w:val="004077D5"/>
    <w:rsid w:val="004108EE"/>
    <w:rsid w:val="0041147A"/>
    <w:rsid w:val="00411C7A"/>
    <w:rsid w:val="0041320F"/>
    <w:rsid w:val="00415CFF"/>
    <w:rsid w:val="00420652"/>
    <w:rsid w:val="004229A5"/>
    <w:rsid w:val="00422E20"/>
    <w:rsid w:val="0042464C"/>
    <w:rsid w:val="0042501A"/>
    <w:rsid w:val="0043060C"/>
    <w:rsid w:val="00430C98"/>
    <w:rsid w:val="00430FD2"/>
    <w:rsid w:val="0043244A"/>
    <w:rsid w:val="00434232"/>
    <w:rsid w:val="004373BF"/>
    <w:rsid w:val="00443F4D"/>
    <w:rsid w:val="00444CF4"/>
    <w:rsid w:val="004453F7"/>
    <w:rsid w:val="00451CC3"/>
    <w:rsid w:val="00455393"/>
    <w:rsid w:val="00456C13"/>
    <w:rsid w:val="00460FA7"/>
    <w:rsid w:val="004665DD"/>
    <w:rsid w:val="00473DA3"/>
    <w:rsid w:val="00476655"/>
    <w:rsid w:val="00480341"/>
    <w:rsid w:val="00484461"/>
    <w:rsid w:val="00485319"/>
    <w:rsid w:val="004859FB"/>
    <w:rsid w:val="004866EE"/>
    <w:rsid w:val="00491739"/>
    <w:rsid w:val="0049335C"/>
    <w:rsid w:val="00493949"/>
    <w:rsid w:val="0049427E"/>
    <w:rsid w:val="00494C3F"/>
    <w:rsid w:val="00496202"/>
    <w:rsid w:val="004A3946"/>
    <w:rsid w:val="004B03C2"/>
    <w:rsid w:val="004B03C3"/>
    <w:rsid w:val="004B20A8"/>
    <w:rsid w:val="004B2394"/>
    <w:rsid w:val="004B3693"/>
    <w:rsid w:val="004B4B2D"/>
    <w:rsid w:val="004B4F71"/>
    <w:rsid w:val="004B76D0"/>
    <w:rsid w:val="004C31F6"/>
    <w:rsid w:val="004C5AF9"/>
    <w:rsid w:val="004C5E5B"/>
    <w:rsid w:val="004C6B24"/>
    <w:rsid w:val="004D3440"/>
    <w:rsid w:val="004D60E4"/>
    <w:rsid w:val="004E0306"/>
    <w:rsid w:val="004E0D7C"/>
    <w:rsid w:val="004E22FC"/>
    <w:rsid w:val="004E7895"/>
    <w:rsid w:val="004F0DA1"/>
    <w:rsid w:val="004F1FAC"/>
    <w:rsid w:val="004F3684"/>
    <w:rsid w:val="004F3A12"/>
    <w:rsid w:val="004F41A2"/>
    <w:rsid w:val="004F6633"/>
    <w:rsid w:val="00500203"/>
    <w:rsid w:val="0050150F"/>
    <w:rsid w:val="00501E1D"/>
    <w:rsid w:val="00506E7E"/>
    <w:rsid w:val="0050779A"/>
    <w:rsid w:val="00507ED3"/>
    <w:rsid w:val="00510303"/>
    <w:rsid w:val="0051194E"/>
    <w:rsid w:val="00513657"/>
    <w:rsid w:val="0051729C"/>
    <w:rsid w:val="00525787"/>
    <w:rsid w:val="00526DA7"/>
    <w:rsid w:val="005335FA"/>
    <w:rsid w:val="00537855"/>
    <w:rsid w:val="0054149D"/>
    <w:rsid w:val="00541EC5"/>
    <w:rsid w:val="00543494"/>
    <w:rsid w:val="00543E58"/>
    <w:rsid w:val="00544155"/>
    <w:rsid w:val="00544838"/>
    <w:rsid w:val="00546547"/>
    <w:rsid w:val="00546742"/>
    <w:rsid w:val="00546C80"/>
    <w:rsid w:val="00550372"/>
    <w:rsid w:val="00550668"/>
    <w:rsid w:val="005513E2"/>
    <w:rsid w:val="00554CF2"/>
    <w:rsid w:val="005567B2"/>
    <w:rsid w:val="005613FD"/>
    <w:rsid w:val="0056148D"/>
    <w:rsid w:val="0056449A"/>
    <w:rsid w:val="00564D4A"/>
    <w:rsid w:val="00566095"/>
    <w:rsid w:val="00572FBA"/>
    <w:rsid w:val="0057399C"/>
    <w:rsid w:val="00575951"/>
    <w:rsid w:val="00577250"/>
    <w:rsid w:val="005804A5"/>
    <w:rsid w:val="00580685"/>
    <w:rsid w:val="00581E11"/>
    <w:rsid w:val="005828A7"/>
    <w:rsid w:val="00585A4D"/>
    <w:rsid w:val="00592E11"/>
    <w:rsid w:val="00593F60"/>
    <w:rsid w:val="005943BF"/>
    <w:rsid w:val="00596856"/>
    <w:rsid w:val="005A1BA6"/>
    <w:rsid w:val="005A1C5E"/>
    <w:rsid w:val="005A2C74"/>
    <w:rsid w:val="005A2CCE"/>
    <w:rsid w:val="005A2E4B"/>
    <w:rsid w:val="005A335D"/>
    <w:rsid w:val="005A3538"/>
    <w:rsid w:val="005A4132"/>
    <w:rsid w:val="005A508E"/>
    <w:rsid w:val="005B10E9"/>
    <w:rsid w:val="005B42CF"/>
    <w:rsid w:val="005B46FC"/>
    <w:rsid w:val="005B4769"/>
    <w:rsid w:val="005B6E3C"/>
    <w:rsid w:val="005B72AD"/>
    <w:rsid w:val="005C0084"/>
    <w:rsid w:val="005C00B9"/>
    <w:rsid w:val="005C06DE"/>
    <w:rsid w:val="005C5D99"/>
    <w:rsid w:val="005C6E04"/>
    <w:rsid w:val="005C7C94"/>
    <w:rsid w:val="005D1DC4"/>
    <w:rsid w:val="005D1FF1"/>
    <w:rsid w:val="005D70E4"/>
    <w:rsid w:val="005E2022"/>
    <w:rsid w:val="005E207C"/>
    <w:rsid w:val="005E6311"/>
    <w:rsid w:val="005E7D2C"/>
    <w:rsid w:val="005F0261"/>
    <w:rsid w:val="005F12B6"/>
    <w:rsid w:val="005F3168"/>
    <w:rsid w:val="005F6D66"/>
    <w:rsid w:val="005F6D99"/>
    <w:rsid w:val="005F7037"/>
    <w:rsid w:val="00600F8A"/>
    <w:rsid w:val="00602DFD"/>
    <w:rsid w:val="006046D3"/>
    <w:rsid w:val="0060688B"/>
    <w:rsid w:val="00607427"/>
    <w:rsid w:val="00607822"/>
    <w:rsid w:val="00611837"/>
    <w:rsid w:val="00611D8D"/>
    <w:rsid w:val="006126CE"/>
    <w:rsid w:val="00613A7F"/>
    <w:rsid w:val="006161E5"/>
    <w:rsid w:val="006172FF"/>
    <w:rsid w:val="0062209D"/>
    <w:rsid w:val="00622896"/>
    <w:rsid w:val="00624825"/>
    <w:rsid w:val="006257AC"/>
    <w:rsid w:val="00632DCF"/>
    <w:rsid w:val="006353C3"/>
    <w:rsid w:val="00636969"/>
    <w:rsid w:val="00640034"/>
    <w:rsid w:val="00640885"/>
    <w:rsid w:val="00642D2F"/>
    <w:rsid w:val="006430AE"/>
    <w:rsid w:val="006440B7"/>
    <w:rsid w:val="00644F16"/>
    <w:rsid w:val="00646871"/>
    <w:rsid w:val="0065008C"/>
    <w:rsid w:val="00651B7B"/>
    <w:rsid w:val="00654D68"/>
    <w:rsid w:val="00655DB7"/>
    <w:rsid w:val="00660F13"/>
    <w:rsid w:val="00661ABA"/>
    <w:rsid w:val="006622FD"/>
    <w:rsid w:val="00665D6E"/>
    <w:rsid w:val="00666086"/>
    <w:rsid w:val="0066702E"/>
    <w:rsid w:val="00667241"/>
    <w:rsid w:val="006715A4"/>
    <w:rsid w:val="006724DC"/>
    <w:rsid w:val="00672F19"/>
    <w:rsid w:val="0067348B"/>
    <w:rsid w:val="006740E4"/>
    <w:rsid w:val="00675F5A"/>
    <w:rsid w:val="00684D61"/>
    <w:rsid w:val="00690244"/>
    <w:rsid w:val="0069043E"/>
    <w:rsid w:val="00696237"/>
    <w:rsid w:val="00696F9A"/>
    <w:rsid w:val="006979B4"/>
    <w:rsid w:val="006A08B4"/>
    <w:rsid w:val="006A1AAF"/>
    <w:rsid w:val="006A1AE1"/>
    <w:rsid w:val="006A218D"/>
    <w:rsid w:val="006A637E"/>
    <w:rsid w:val="006B0E79"/>
    <w:rsid w:val="006B0F1C"/>
    <w:rsid w:val="006B53ED"/>
    <w:rsid w:val="006B6718"/>
    <w:rsid w:val="006B6C63"/>
    <w:rsid w:val="006B7439"/>
    <w:rsid w:val="006C2299"/>
    <w:rsid w:val="006C38C3"/>
    <w:rsid w:val="006C3E8D"/>
    <w:rsid w:val="006C588F"/>
    <w:rsid w:val="006C64E9"/>
    <w:rsid w:val="006C79E0"/>
    <w:rsid w:val="006D0BA8"/>
    <w:rsid w:val="006D0C9D"/>
    <w:rsid w:val="006D66FB"/>
    <w:rsid w:val="006E18E2"/>
    <w:rsid w:val="006E2FD4"/>
    <w:rsid w:val="006E6815"/>
    <w:rsid w:val="006F1BB8"/>
    <w:rsid w:val="006F48DF"/>
    <w:rsid w:val="006F7C16"/>
    <w:rsid w:val="0070010B"/>
    <w:rsid w:val="00701788"/>
    <w:rsid w:val="00701AF1"/>
    <w:rsid w:val="0070244C"/>
    <w:rsid w:val="00702634"/>
    <w:rsid w:val="007046A1"/>
    <w:rsid w:val="00706182"/>
    <w:rsid w:val="00707671"/>
    <w:rsid w:val="00710C78"/>
    <w:rsid w:val="00711BF4"/>
    <w:rsid w:val="0071223C"/>
    <w:rsid w:val="0071416C"/>
    <w:rsid w:val="00714C7C"/>
    <w:rsid w:val="00716F63"/>
    <w:rsid w:val="00721DF6"/>
    <w:rsid w:val="007253DF"/>
    <w:rsid w:val="007253EF"/>
    <w:rsid w:val="00731511"/>
    <w:rsid w:val="0073256A"/>
    <w:rsid w:val="00732CC3"/>
    <w:rsid w:val="00740FB7"/>
    <w:rsid w:val="00741296"/>
    <w:rsid w:val="007458F2"/>
    <w:rsid w:val="007468E4"/>
    <w:rsid w:val="007473F4"/>
    <w:rsid w:val="007509D5"/>
    <w:rsid w:val="00754B05"/>
    <w:rsid w:val="00755CE9"/>
    <w:rsid w:val="00756551"/>
    <w:rsid w:val="00757331"/>
    <w:rsid w:val="007604B7"/>
    <w:rsid w:val="007614B1"/>
    <w:rsid w:val="00761560"/>
    <w:rsid w:val="007636F4"/>
    <w:rsid w:val="00764441"/>
    <w:rsid w:val="0076451F"/>
    <w:rsid w:val="0076490D"/>
    <w:rsid w:val="0076620B"/>
    <w:rsid w:val="0077316B"/>
    <w:rsid w:val="007731C9"/>
    <w:rsid w:val="00776E21"/>
    <w:rsid w:val="00776ECB"/>
    <w:rsid w:val="00777E57"/>
    <w:rsid w:val="00777E74"/>
    <w:rsid w:val="007802D0"/>
    <w:rsid w:val="00780698"/>
    <w:rsid w:val="00780EE3"/>
    <w:rsid w:val="00783079"/>
    <w:rsid w:val="007849A8"/>
    <w:rsid w:val="00790E59"/>
    <w:rsid w:val="0079100B"/>
    <w:rsid w:val="00793D02"/>
    <w:rsid w:val="00793F6D"/>
    <w:rsid w:val="0079756C"/>
    <w:rsid w:val="007A1093"/>
    <w:rsid w:val="007A25F4"/>
    <w:rsid w:val="007A2C6B"/>
    <w:rsid w:val="007A45E7"/>
    <w:rsid w:val="007A6487"/>
    <w:rsid w:val="007B1142"/>
    <w:rsid w:val="007B2CF0"/>
    <w:rsid w:val="007B479F"/>
    <w:rsid w:val="007B6D61"/>
    <w:rsid w:val="007C00AA"/>
    <w:rsid w:val="007C0CD3"/>
    <w:rsid w:val="007C1B97"/>
    <w:rsid w:val="007C5FD6"/>
    <w:rsid w:val="007C6267"/>
    <w:rsid w:val="007C71F9"/>
    <w:rsid w:val="007D111E"/>
    <w:rsid w:val="007D2690"/>
    <w:rsid w:val="007D2BD9"/>
    <w:rsid w:val="007D3DC3"/>
    <w:rsid w:val="007D3ECB"/>
    <w:rsid w:val="007D46AE"/>
    <w:rsid w:val="007D5014"/>
    <w:rsid w:val="007D5A21"/>
    <w:rsid w:val="007D6111"/>
    <w:rsid w:val="007E11B6"/>
    <w:rsid w:val="007E2B3D"/>
    <w:rsid w:val="007E3078"/>
    <w:rsid w:val="007E57B8"/>
    <w:rsid w:val="007E5CF5"/>
    <w:rsid w:val="007E6226"/>
    <w:rsid w:val="007E6E81"/>
    <w:rsid w:val="007E6E8C"/>
    <w:rsid w:val="007E73B9"/>
    <w:rsid w:val="007F44C7"/>
    <w:rsid w:val="00800ADE"/>
    <w:rsid w:val="008025D8"/>
    <w:rsid w:val="00802B44"/>
    <w:rsid w:val="00803515"/>
    <w:rsid w:val="0080399A"/>
    <w:rsid w:val="008045A6"/>
    <w:rsid w:val="00807FD4"/>
    <w:rsid w:val="00810206"/>
    <w:rsid w:val="00811526"/>
    <w:rsid w:val="00811ED3"/>
    <w:rsid w:val="00814D8A"/>
    <w:rsid w:val="0081507E"/>
    <w:rsid w:val="00815936"/>
    <w:rsid w:val="008161DC"/>
    <w:rsid w:val="00816BD6"/>
    <w:rsid w:val="00817C14"/>
    <w:rsid w:val="00820FD2"/>
    <w:rsid w:val="00821265"/>
    <w:rsid w:val="00824585"/>
    <w:rsid w:val="00826DAD"/>
    <w:rsid w:val="00830B92"/>
    <w:rsid w:val="008405F1"/>
    <w:rsid w:val="00842AE4"/>
    <w:rsid w:val="00843CE0"/>
    <w:rsid w:val="00846D58"/>
    <w:rsid w:val="00850EB2"/>
    <w:rsid w:val="00851B05"/>
    <w:rsid w:val="00854521"/>
    <w:rsid w:val="0085490E"/>
    <w:rsid w:val="00855DBE"/>
    <w:rsid w:val="00856E03"/>
    <w:rsid w:val="0086132E"/>
    <w:rsid w:val="00861533"/>
    <w:rsid w:val="00867CB1"/>
    <w:rsid w:val="00870443"/>
    <w:rsid w:val="00872154"/>
    <w:rsid w:val="00872B08"/>
    <w:rsid w:val="00873E48"/>
    <w:rsid w:val="00876E74"/>
    <w:rsid w:val="0087783C"/>
    <w:rsid w:val="00880DA8"/>
    <w:rsid w:val="00881178"/>
    <w:rsid w:val="008812C7"/>
    <w:rsid w:val="00881E0B"/>
    <w:rsid w:val="0088252F"/>
    <w:rsid w:val="00882A20"/>
    <w:rsid w:val="0088600E"/>
    <w:rsid w:val="00887C21"/>
    <w:rsid w:val="00887CF2"/>
    <w:rsid w:val="00891C3B"/>
    <w:rsid w:val="008923BA"/>
    <w:rsid w:val="00894A1A"/>
    <w:rsid w:val="0089625A"/>
    <w:rsid w:val="008964D4"/>
    <w:rsid w:val="008973BA"/>
    <w:rsid w:val="0089744F"/>
    <w:rsid w:val="008A2373"/>
    <w:rsid w:val="008A70B2"/>
    <w:rsid w:val="008B218B"/>
    <w:rsid w:val="008B21BC"/>
    <w:rsid w:val="008B3550"/>
    <w:rsid w:val="008B35AC"/>
    <w:rsid w:val="008B4A4A"/>
    <w:rsid w:val="008B6648"/>
    <w:rsid w:val="008B67C4"/>
    <w:rsid w:val="008B7779"/>
    <w:rsid w:val="008C27B8"/>
    <w:rsid w:val="008C2AAB"/>
    <w:rsid w:val="008C3BF7"/>
    <w:rsid w:val="008C59A6"/>
    <w:rsid w:val="008C764D"/>
    <w:rsid w:val="008D066D"/>
    <w:rsid w:val="008D0E46"/>
    <w:rsid w:val="008D15BE"/>
    <w:rsid w:val="008D40E7"/>
    <w:rsid w:val="008D4377"/>
    <w:rsid w:val="008D64AD"/>
    <w:rsid w:val="008E1C05"/>
    <w:rsid w:val="008E21BD"/>
    <w:rsid w:val="008E2508"/>
    <w:rsid w:val="008E4ECF"/>
    <w:rsid w:val="008E52FB"/>
    <w:rsid w:val="008F10D4"/>
    <w:rsid w:val="008F2A42"/>
    <w:rsid w:val="008F5FBD"/>
    <w:rsid w:val="008F7E1B"/>
    <w:rsid w:val="009001C6"/>
    <w:rsid w:val="00901988"/>
    <w:rsid w:val="0090246B"/>
    <w:rsid w:val="009030E4"/>
    <w:rsid w:val="00903559"/>
    <w:rsid w:val="00905319"/>
    <w:rsid w:val="00905E7E"/>
    <w:rsid w:val="00906B38"/>
    <w:rsid w:val="00915C63"/>
    <w:rsid w:val="00915E9E"/>
    <w:rsid w:val="00916426"/>
    <w:rsid w:val="00917125"/>
    <w:rsid w:val="009207C2"/>
    <w:rsid w:val="00921D19"/>
    <w:rsid w:val="0092412B"/>
    <w:rsid w:val="00927EA0"/>
    <w:rsid w:val="009317D5"/>
    <w:rsid w:val="00932507"/>
    <w:rsid w:val="00934C7C"/>
    <w:rsid w:val="00936182"/>
    <w:rsid w:val="009379B0"/>
    <w:rsid w:val="00953BAE"/>
    <w:rsid w:val="009607BE"/>
    <w:rsid w:val="00960B99"/>
    <w:rsid w:val="00964321"/>
    <w:rsid w:val="009705A6"/>
    <w:rsid w:val="009721E4"/>
    <w:rsid w:val="009751D8"/>
    <w:rsid w:val="00975E23"/>
    <w:rsid w:val="00980D27"/>
    <w:rsid w:val="00982BEB"/>
    <w:rsid w:val="009854A6"/>
    <w:rsid w:val="0098570A"/>
    <w:rsid w:val="00986CFD"/>
    <w:rsid w:val="0098774B"/>
    <w:rsid w:val="00992178"/>
    <w:rsid w:val="009925A3"/>
    <w:rsid w:val="009952D6"/>
    <w:rsid w:val="00995915"/>
    <w:rsid w:val="009B58A5"/>
    <w:rsid w:val="009B5CA1"/>
    <w:rsid w:val="009B61AA"/>
    <w:rsid w:val="009B64F4"/>
    <w:rsid w:val="009B6CF6"/>
    <w:rsid w:val="009B7DA7"/>
    <w:rsid w:val="009C028E"/>
    <w:rsid w:val="009C15F8"/>
    <w:rsid w:val="009C3216"/>
    <w:rsid w:val="009C4BC9"/>
    <w:rsid w:val="009C7655"/>
    <w:rsid w:val="009D0946"/>
    <w:rsid w:val="009D10BB"/>
    <w:rsid w:val="009D3120"/>
    <w:rsid w:val="009D4D84"/>
    <w:rsid w:val="009D5695"/>
    <w:rsid w:val="009F44DE"/>
    <w:rsid w:val="009F64B8"/>
    <w:rsid w:val="00A00184"/>
    <w:rsid w:val="00A00264"/>
    <w:rsid w:val="00A00FBD"/>
    <w:rsid w:val="00A0280E"/>
    <w:rsid w:val="00A04DFD"/>
    <w:rsid w:val="00A06DEF"/>
    <w:rsid w:val="00A1017C"/>
    <w:rsid w:val="00A1096A"/>
    <w:rsid w:val="00A11A45"/>
    <w:rsid w:val="00A11EBA"/>
    <w:rsid w:val="00A13052"/>
    <w:rsid w:val="00A16B0D"/>
    <w:rsid w:val="00A25EF5"/>
    <w:rsid w:val="00A306F9"/>
    <w:rsid w:val="00A31DE7"/>
    <w:rsid w:val="00A328BE"/>
    <w:rsid w:val="00A3315F"/>
    <w:rsid w:val="00A333C5"/>
    <w:rsid w:val="00A33695"/>
    <w:rsid w:val="00A368FC"/>
    <w:rsid w:val="00A373D3"/>
    <w:rsid w:val="00A37DEA"/>
    <w:rsid w:val="00A40DBC"/>
    <w:rsid w:val="00A41D7C"/>
    <w:rsid w:val="00A43F84"/>
    <w:rsid w:val="00A4767A"/>
    <w:rsid w:val="00A51711"/>
    <w:rsid w:val="00A52C71"/>
    <w:rsid w:val="00A5368D"/>
    <w:rsid w:val="00A53A1F"/>
    <w:rsid w:val="00A54DC1"/>
    <w:rsid w:val="00A56683"/>
    <w:rsid w:val="00A57160"/>
    <w:rsid w:val="00A575D6"/>
    <w:rsid w:val="00A604CA"/>
    <w:rsid w:val="00A6389E"/>
    <w:rsid w:val="00A6426F"/>
    <w:rsid w:val="00A65756"/>
    <w:rsid w:val="00A65790"/>
    <w:rsid w:val="00A70832"/>
    <w:rsid w:val="00A741AA"/>
    <w:rsid w:val="00A744C6"/>
    <w:rsid w:val="00A74FA8"/>
    <w:rsid w:val="00A75761"/>
    <w:rsid w:val="00A764ED"/>
    <w:rsid w:val="00A8093F"/>
    <w:rsid w:val="00A821D7"/>
    <w:rsid w:val="00A859BB"/>
    <w:rsid w:val="00A87A29"/>
    <w:rsid w:val="00A913B0"/>
    <w:rsid w:val="00A93003"/>
    <w:rsid w:val="00A960A0"/>
    <w:rsid w:val="00A96CC0"/>
    <w:rsid w:val="00AB02C7"/>
    <w:rsid w:val="00AB0F37"/>
    <w:rsid w:val="00AB136B"/>
    <w:rsid w:val="00AB1E2D"/>
    <w:rsid w:val="00AB32FB"/>
    <w:rsid w:val="00AB3BF7"/>
    <w:rsid w:val="00AB6693"/>
    <w:rsid w:val="00AC03BD"/>
    <w:rsid w:val="00AC226A"/>
    <w:rsid w:val="00AC4068"/>
    <w:rsid w:val="00AC437A"/>
    <w:rsid w:val="00AD14DA"/>
    <w:rsid w:val="00AD1AE2"/>
    <w:rsid w:val="00AD251F"/>
    <w:rsid w:val="00AD268D"/>
    <w:rsid w:val="00AD38D2"/>
    <w:rsid w:val="00AD3E68"/>
    <w:rsid w:val="00AD44E6"/>
    <w:rsid w:val="00AD6D88"/>
    <w:rsid w:val="00AE0E4F"/>
    <w:rsid w:val="00AE279F"/>
    <w:rsid w:val="00AE2BCE"/>
    <w:rsid w:val="00AE2E82"/>
    <w:rsid w:val="00AE44E9"/>
    <w:rsid w:val="00AE456F"/>
    <w:rsid w:val="00AE67A9"/>
    <w:rsid w:val="00AF06B2"/>
    <w:rsid w:val="00AF2B0D"/>
    <w:rsid w:val="00AF6D9B"/>
    <w:rsid w:val="00B10B32"/>
    <w:rsid w:val="00B13AB4"/>
    <w:rsid w:val="00B21D0F"/>
    <w:rsid w:val="00B223C3"/>
    <w:rsid w:val="00B231CE"/>
    <w:rsid w:val="00B24072"/>
    <w:rsid w:val="00B24A43"/>
    <w:rsid w:val="00B265F0"/>
    <w:rsid w:val="00B269C7"/>
    <w:rsid w:val="00B314A3"/>
    <w:rsid w:val="00B360D8"/>
    <w:rsid w:val="00B36B25"/>
    <w:rsid w:val="00B36B54"/>
    <w:rsid w:val="00B43802"/>
    <w:rsid w:val="00B442CA"/>
    <w:rsid w:val="00B467FE"/>
    <w:rsid w:val="00B529B4"/>
    <w:rsid w:val="00B56DB9"/>
    <w:rsid w:val="00B5779C"/>
    <w:rsid w:val="00B60388"/>
    <w:rsid w:val="00B63C18"/>
    <w:rsid w:val="00B64319"/>
    <w:rsid w:val="00B66FEB"/>
    <w:rsid w:val="00B70117"/>
    <w:rsid w:val="00B71E1E"/>
    <w:rsid w:val="00B73FA2"/>
    <w:rsid w:val="00B7660C"/>
    <w:rsid w:val="00B77BAF"/>
    <w:rsid w:val="00B80727"/>
    <w:rsid w:val="00B80AAE"/>
    <w:rsid w:val="00B850BE"/>
    <w:rsid w:val="00B851BF"/>
    <w:rsid w:val="00B853C2"/>
    <w:rsid w:val="00B867FD"/>
    <w:rsid w:val="00B90833"/>
    <w:rsid w:val="00B959DE"/>
    <w:rsid w:val="00B963D8"/>
    <w:rsid w:val="00B9653B"/>
    <w:rsid w:val="00B97C62"/>
    <w:rsid w:val="00BA11B0"/>
    <w:rsid w:val="00BA782B"/>
    <w:rsid w:val="00BB0E91"/>
    <w:rsid w:val="00BB101D"/>
    <w:rsid w:val="00BB2527"/>
    <w:rsid w:val="00BB2744"/>
    <w:rsid w:val="00BB3087"/>
    <w:rsid w:val="00BB3896"/>
    <w:rsid w:val="00BB4AE9"/>
    <w:rsid w:val="00BC0151"/>
    <w:rsid w:val="00BC10B9"/>
    <w:rsid w:val="00BC1A7A"/>
    <w:rsid w:val="00BC2451"/>
    <w:rsid w:val="00BC545B"/>
    <w:rsid w:val="00BC6E63"/>
    <w:rsid w:val="00BC741A"/>
    <w:rsid w:val="00BD121F"/>
    <w:rsid w:val="00BD32BA"/>
    <w:rsid w:val="00BD72FF"/>
    <w:rsid w:val="00BE1CC0"/>
    <w:rsid w:val="00BE2016"/>
    <w:rsid w:val="00BE4940"/>
    <w:rsid w:val="00BE587F"/>
    <w:rsid w:val="00BE5D8C"/>
    <w:rsid w:val="00BF0A33"/>
    <w:rsid w:val="00BF1D15"/>
    <w:rsid w:val="00BF33D4"/>
    <w:rsid w:val="00BF4540"/>
    <w:rsid w:val="00C0107A"/>
    <w:rsid w:val="00C01652"/>
    <w:rsid w:val="00C01C24"/>
    <w:rsid w:val="00C028F8"/>
    <w:rsid w:val="00C06FF5"/>
    <w:rsid w:val="00C11851"/>
    <w:rsid w:val="00C130B0"/>
    <w:rsid w:val="00C15146"/>
    <w:rsid w:val="00C15902"/>
    <w:rsid w:val="00C16BFA"/>
    <w:rsid w:val="00C17F3A"/>
    <w:rsid w:val="00C209F4"/>
    <w:rsid w:val="00C21D19"/>
    <w:rsid w:val="00C236BA"/>
    <w:rsid w:val="00C2595E"/>
    <w:rsid w:val="00C262F9"/>
    <w:rsid w:val="00C26376"/>
    <w:rsid w:val="00C26EAB"/>
    <w:rsid w:val="00C27119"/>
    <w:rsid w:val="00C30B12"/>
    <w:rsid w:val="00C35B0E"/>
    <w:rsid w:val="00C40D7C"/>
    <w:rsid w:val="00C42948"/>
    <w:rsid w:val="00C435E8"/>
    <w:rsid w:val="00C437CD"/>
    <w:rsid w:val="00C44551"/>
    <w:rsid w:val="00C44611"/>
    <w:rsid w:val="00C458B7"/>
    <w:rsid w:val="00C45D93"/>
    <w:rsid w:val="00C467CA"/>
    <w:rsid w:val="00C47BAC"/>
    <w:rsid w:val="00C53627"/>
    <w:rsid w:val="00C53AF9"/>
    <w:rsid w:val="00C564B5"/>
    <w:rsid w:val="00C613C6"/>
    <w:rsid w:val="00C62C68"/>
    <w:rsid w:val="00C63236"/>
    <w:rsid w:val="00C67FD8"/>
    <w:rsid w:val="00C70163"/>
    <w:rsid w:val="00C70E05"/>
    <w:rsid w:val="00C713E4"/>
    <w:rsid w:val="00C75357"/>
    <w:rsid w:val="00C805FB"/>
    <w:rsid w:val="00C80687"/>
    <w:rsid w:val="00C814B5"/>
    <w:rsid w:val="00C846FB"/>
    <w:rsid w:val="00C92A7A"/>
    <w:rsid w:val="00C92DE0"/>
    <w:rsid w:val="00C935CB"/>
    <w:rsid w:val="00C940A5"/>
    <w:rsid w:val="00CA4A20"/>
    <w:rsid w:val="00CA5759"/>
    <w:rsid w:val="00CB1711"/>
    <w:rsid w:val="00CB2938"/>
    <w:rsid w:val="00CB3A3C"/>
    <w:rsid w:val="00CB5C7F"/>
    <w:rsid w:val="00CC102C"/>
    <w:rsid w:val="00CC11A2"/>
    <w:rsid w:val="00CC2139"/>
    <w:rsid w:val="00CC4C26"/>
    <w:rsid w:val="00CC7507"/>
    <w:rsid w:val="00CC7732"/>
    <w:rsid w:val="00CC7CD3"/>
    <w:rsid w:val="00CD3CE0"/>
    <w:rsid w:val="00CD3DC7"/>
    <w:rsid w:val="00CD4196"/>
    <w:rsid w:val="00CD561C"/>
    <w:rsid w:val="00CD7335"/>
    <w:rsid w:val="00CE2D95"/>
    <w:rsid w:val="00CE3DF8"/>
    <w:rsid w:val="00CE7377"/>
    <w:rsid w:val="00CF0900"/>
    <w:rsid w:val="00CF0F62"/>
    <w:rsid w:val="00CF1AFB"/>
    <w:rsid w:val="00CF2506"/>
    <w:rsid w:val="00CF37AB"/>
    <w:rsid w:val="00CF4376"/>
    <w:rsid w:val="00CF5896"/>
    <w:rsid w:val="00CF7500"/>
    <w:rsid w:val="00D02FF2"/>
    <w:rsid w:val="00D0531A"/>
    <w:rsid w:val="00D10CD1"/>
    <w:rsid w:val="00D1174F"/>
    <w:rsid w:val="00D119A3"/>
    <w:rsid w:val="00D129E9"/>
    <w:rsid w:val="00D148CB"/>
    <w:rsid w:val="00D20C15"/>
    <w:rsid w:val="00D25ADC"/>
    <w:rsid w:val="00D25ED3"/>
    <w:rsid w:val="00D262CA"/>
    <w:rsid w:val="00D27372"/>
    <w:rsid w:val="00D27A4D"/>
    <w:rsid w:val="00D3290B"/>
    <w:rsid w:val="00D34B75"/>
    <w:rsid w:val="00D35395"/>
    <w:rsid w:val="00D37739"/>
    <w:rsid w:val="00D428CF"/>
    <w:rsid w:val="00D42C36"/>
    <w:rsid w:val="00D43233"/>
    <w:rsid w:val="00D44AFA"/>
    <w:rsid w:val="00D4664F"/>
    <w:rsid w:val="00D55A64"/>
    <w:rsid w:val="00D618BD"/>
    <w:rsid w:val="00D63063"/>
    <w:rsid w:val="00D6454C"/>
    <w:rsid w:val="00D64BFE"/>
    <w:rsid w:val="00D659FA"/>
    <w:rsid w:val="00D71A26"/>
    <w:rsid w:val="00D74323"/>
    <w:rsid w:val="00D7774A"/>
    <w:rsid w:val="00D77B74"/>
    <w:rsid w:val="00D81B03"/>
    <w:rsid w:val="00D82CED"/>
    <w:rsid w:val="00D85810"/>
    <w:rsid w:val="00D901C5"/>
    <w:rsid w:val="00D92013"/>
    <w:rsid w:val="00D9241F"/>
    <w:rsid w:val="00D93059"/>
    <w:rsid w:val="00D931F5"/>
    <w:rsid w:val="00D94274"/>
    <w:rsid w:val="00D95178"/>
    <w:rsid w:val="00D95BA3"/>
    <w:rsid w:val="00DA0557"/>
    <w:rsid w:val="00DA2247"/>
    <w:rsid w:val="00DA22A1"/>
    <w:rsid w:val="00DA4002"/>
    <w:rsid w:val="00DA49F6"/>
    <w:rsid w:val="00DB11A9"/>
    <w:rsid w:val="00DB12A2"/>
    <w:rsid w:val="00DB14CF"/>
    <w:rsid w:val="00DB25EE"/>
    <w:rsid w:val="00DB263C"/>
    <w:rsid w:val="00DB6A72"/>
    <w:rsid w:val="00DC537E"/>
    <w:rsid w:val="00DD14F7"/>
    <w:rsid w:val="00DD28C0"/>
    <w:rsid w:val="00DD2EAA"/>
    <w:rsid w:val="00DD3861"/>
    <w:rsid w:val="00DD431B"/>
    <w:rsid w:val="00DD4799"/>
    <w:rsid w:val="00DD7029"/>
    <w:rsid w:val="00DE3E2F"/>
    <w:rsid w:val="00DE4DF7"/>
    <w:rsid w:val="00DE60F6"/>
    <w:rsid w:val="00DE694C"/>
    <w:rsid w:val="00DE74A9"/>
    <w:rsid w:val="00DF0B32"/>
    <w:rsid w:val="00DF1442"/>
    <w:rsid w:val="00DF6B20"/>
    <w:rsid w:val="00DF7784"/>
    <w:rsid w:val="00E00030"/>
    <w:rsid w:val="00E005DB"/>
    <w:rsid w:val="00E02165"/>
    <w:rsid w:val="00E03A1F"/>
    <w:rsid w:val="00E03DE0"/>
    <w:rsid w:val="00E0436E"/>
    <w:rsid w:val="00E1254B"/>
    <w:rsid w:val="00E14337"/>
    <w:rsid w:val="00E179DB"/>
    <w:rsid w:val="00E209B9"/>
    <w:rsid w:val="00E21E06"/>
    <w:rsid w:val="00E22854"/>
    <w:rsid w:val="00E23796"/>
    <w:rsid w:val="00E24D58"/>
    <w:rsid w:val="00E25139"/>
    <w:rsid w:val="00E26DA2"/>
    <w:rsid w:val="00E30646"/>
    <w:rsid w:val="00E318A1"/>
    <w:rsid w:val="00E34853"/>
    <w:rsid w:val="00E353CF"/>
    <w:rsid w:val="00E40BDE"/>
    <w:rsid w:val="00E44FF2"/>
    <w:rsid w:val="00E45F14"/>
    <w:rsid w:val="00E50145"/>
    <w:rsid w:val="00E53CB1"/>
    <w:rsid w:val="00E56685"/>
    <w:rsid w:val="00E56976"/>
    <w:rsid w:val="00E60736"/>
    <w:rsid w:val="00E61878"/>
    <w:rsid w:val="00E653B3"/>
    <w:rsid w:val="00E65B67"/>
    <w:rsid w:val="00E65FFA"/>
    <w:rsid w:val="00E6646D"/>
    <w:rsid w:val="00E675BF"/>
    <w:rsid w:val="00E67B8A"/>
    <w:rsid w:val="00E71C0F"/>
    <w:rsid w:val="00E7408E"/>
    <w:rsid w:val="00E7717C"/>
    <w:rsid w:val="00E80354"/>
    <w:rsid w:val="00E826AA"/>
    <w:rsid w:val="00E82967"/>
    <w:rsid w:val="00E841D5"/>
    <w:rsid w:val="00E843E5"/>
    <w:rsid w:val="00E84766"/>
    <w:rsid w:val="00E84C51"/>
    <w:rsid w:val="00E92920"/>
    <w:rsid w:val="00E929A1"/>
    <w:rsid w:val="00E92E6A"/>
    <w:rsid w:val="00E94A4E"/>
    <w:rsid w:val="00EA37F6"/>
    <w:rsid w:val="00EB1C2B"/>
    <w:rsid w:val="00EB52D4"/>
    <w:rsid w:val="00EB59E9"/>
    <w:rsid w:val="00EB788A"/>
    <w:rsid w:val="00EC09E2"/>
    <w:rsid w:val="00EC1C89"/>
    <w:rsid w:val="00EC3529"/>
    <w:rsid w:val="00EC3AFA"/>
    <w:rsid w:val="00EC6096"/>
    <w:rsid w:val="00EC6669"/>
    <w:rsid w:val="00ED1747"/>
    <w:rsid w:val="00ED3189"/>
    <w:rsid w:val="00ED36C8"/>
    <w:rsid w:val="00ED54BB"/>
    <w:rsid w:val="00ED562F"/>
    <w:rsid w:val="00ED6701"/>
    <w:rsid w:val="00ED6822"/>
    <w:rsid w:val="00EE203F"/>
    <w:rsid w:val="00EE34A0"/>
    <w:rsid w:val="00EE375D"/>
    <w:rsid w:val="00EE494F"/>
    <w:rsid w:val="00EE6F00"/>
    <w:rsid w:val="00EE7534"/>
    <w:rsid w:val="00EF003B"/>
    <w:rsid w:val="00EF005C"/>
    <w:rsid w:val="00EF0ECD"/>
    <w:rsid w:val="00EF1F77"/>
    <w:rsid w:val="00EF22AE"/>
    <w:rsid w:val="00EF24DE"/>
    <w:rsid w:val="00EF2D14"/>
    <w:rsid w:val="00EF2F15"/>
    <w:rsid w:val="00EF3B6C"/>
    <w:rsid w:val="00EF742A"/>
    <w:rsid w:val="00F00CDC"/>
    <w:rsid w:val="00F00FB3"/>
    <w:rsid w:val="00F03AA0"/>
    <w:rsid w:val="00F03E8E"/>
    <w:rsid w:val="00F05721"/>
    <w:rsid w:val="00F078A5"/>
    <w:rsid w:val="00F100E9"/>
    <w:rsid w:val="00F111D6"/>
    <w:rsid w:val="00F11604"/>
    <w:rsid w:val="00F16DD9"/>
    <w:rsid w:val="00F21886"/>
    <w:rsid w:val="00F23177"/>
    <w:rsid w:val="00F23A69"/>
    <w:rsid w:val="00F253D7"/>
    <w:rsid w:val="00F2562B"/>
    <w:rsid w:val="00F26E3A"/>
    <w:rsid w:val="00F27012"/>
    <w:rsid w:val="00F306DE"/>
    <w:rsid w:val="00F30839"/>
    <w:rsid w:val="00F31668"/>
    <w:rsid w:val="00F31AF8"/>
    <w:rsid w:val="00F32DCC"/>
    <w:rsid w:val="00F365F1"/>
    <w:rsid w:val="00F451E8"/>
    <w:rsid w:val="00F458B6"/>
    <w:rsid w:val="00F467F9"/>
    <w:rsid w:val="00F5141A"/>
    <w:rsid w:val="00F63976"/>
    <w:rsid w:val="00F64B1B"/>
    <w:rsid w:val="00F65490"/>
    <w:rsid w:val="00F65685"/>
    <w:rsid w:val="00F65DCA"/>
    <w:rsid w:val="00F71CBD"/>
    <w:rsid w:val="00F72C8B"/>
    <w:rsid w:val="00F736C1"/>
    <w:rsid w:val="00F73786"/>
    <w:rsid w:val="00F745D7"/>
    <w:rsid w:val="00F762FD"/>
    <w:rsid w:val="00F77F20"/>
    <w:rsid w:val="00F8183B"/>
    <w:rsid w:val="00F84BDC"/>
    <w:rsid w:val="00F87C45"/>
    <w:rsid w:val="00F9169E"/>
    <w:rsid w:val="00F93BFB"/>
    <w:rsid w:val="00F95971"/>
    <w:rsid w:val="00F95BFB"/>
    <w:rsid w:val="00F973C5"/>
    <w:rsid w:val="00FA1C0B"/>
    <w:rsid w:val="00FA3D95"/>
    <w:rsid w:val="00FA3E63"/>
    <w:rsid w:val="00FA67E5"/>
    <w:rsid w:val="00FA7588"/>
    <w:rsid w:val="00FB4D14"/>
    <w:rsid w:val="00FB55FB"/>
    <w:rsid w:val="00FB7746"/>
    <w:rsid w:val="00FC0239"/>
    <w:rsid w:val="00FC148D"/>
    <w:rsid w:val="00FC45CD"/>
    <w:rsid w:val="00FC5053"/>
    <w:rsid w:val="00FC6C70"/>
    <w:rsid w:val="00FC6FA5"/>
    <w:rsid w:val="00FC7716"/>
    <w:rsid w:val="00FC78CB"/>
    <w:rsid w:val="00FC7B04"/>
    <w:rsid w:val="00FD17D7"/>
    <w:rsid w:val="00FD6AD7"/>
    <w:rsid w:val="00FD7D1C"/>
    <w:rsid w:val="00FE0F6A"/>
    <w:rsid w:val="00FE1A32"/>
    <w:rsid w:val="00FE3211"/>
    <w:rsid w:val="00FE497A"/>
    <w:rsid w:val="00FE4C78"/>
    <w:rsid w:val="00FE53C2"/>
    <w:rsid w:val="00FE68D4"/>
    <w:rsid w:val="00FF1AB7"/>
    <w:rsid w:val="00FF6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C26467"/>
  <w15:docId w15:val="{7B4441C2-EE60-4037-B13C-0C8BEB14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74323"/>
    <w:rPr>
      <w:sz w:val="24"/>
      <w:szCs w:val="24"/>
    </w:rPr>
  </w:style>
  <w:style w:type="paragraph" w:styleId="1">
    <w:name w:val="heading 1"/>
    <w:basedOn w:val="a"/>
    <w:next w:val="a"/>
    <w:qFormat/>
    <w:pPr>
      <w:keepNext/>
      <w:jc w:val="center"/>
      <w:outlineLvl w:val="0"/>
    </w:pPr>
    <w:rPr>
      <w:szCs w:val="20"/>
    </w:rPr>
  </w:style>
  <w:style w:type="paragraph" w:styleId="2">
    <w:name w:val="heading 2"/>
    <w:basedOn w:val="a"/>
    <w:next w:val="a"/>
    <w:qFormat/>
    <w:pPr>
      <w:keepNext/>
      <w:outlineLvl w:val="1"/>
    </w:pPr>
    <w:rPr>
      <w:szCs w:val="20"/>
    </w:rPr>
  </w:style>
  <w:style w:type="paragraph" w:styleId="3">
    <w:name w:val="heading 3"/>
    <w:basedOn w:val="a"/>
    <w:next w:val="a"/>
    <w:qFormat/>
    <w:pPr>
      <w:keepNext/>
      <w:ind w:firstLine="709"/>
      <w:jc w:val="both"/>
      <w:outlineLvl w:val="2"/>
    </w:pPr>
    <w:rPr>
      <w:b/>
      <w:bCs/>
      <w:color w:val="000000"/>
    </w:rPr>
  </w:style>
  <w:style w:type="paragraph" w:styleId="4">
    <w:name w:val="heading 4"/>
    <w:basedOn w:val="a"/>
    <w:next w:val="a"/>
    <w:qFormat/>
    <w:pPr>
      <w:keepNext/>
      <w:ind w:firstLine="709"/>
      <w:jc w:val="center"/>
      <w:outlineLvl w:val="3"/>
    </w:pPr>
    <w:rPr>
      <w:b/>
    </w:rPr>
  </w:style>
  <w:style w:type="paragraph" w:styleId="5">
    <w:name w:val="heading 5"/>
    <w:basedOn w:val="a"/>
    <w:next w:val="a"/>
    <w:link w:val="50"/>
    <w:qFormat/>
    <w:pPr>
      <w:keepNext/>
      <w:jc w:val="center"/>
      <w:outlineLvl w:val="4"/>
    </w:pPr>
    <w:rPr>
      <w:b/>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20">
    <w:name w:val="Body Text 2"/>
    <w:basedOn w:val="a"/>
    <w:link w:val="21"/>
    <w:uiPriority w:val="99"/>
    <w:pPr>
      <w:spacing w:line="297" w:lineRule="exact"/>
      <w:ind w:right="144"/>
      <w:jc w:val="center"/>
    </w:pPr>
    <w:rPr>
      <w:b/>
      <w:szCs w:val="20"/>
      <w:lang w:val="x-none" w:eastAsia="x-none"/>
    </w:rPr>
  </w:style>
  <w:style w:type="paragraph" w:customStyle="1" w:styleId="6">
    <w:name w:val="заголовок 6"/>
    <w:basedOn w:val="a"/>
    <w:next w:val="a"/>
    <w:pPr>
      <w:keepNext/>
      <w:jc w:val="both"/>
    </w:pPr>
    <w:rPr>
      <w:szCs w:val="20"/>
    </w:rPr>
  </w:style>
  <w:style w:type="paragraph" w:styleId="a3">
    <w:name w:val="Body Text"/>
    <w:basedOn w:val="a"/>
    <w:link w:val="a4"/>
    <w:uiPriority w:val="99"/>
    <w:pPr>
      <w:jc w:val="both"/>
    </w:pPr>
    <w:rPr>
      <w:szCs w:val="20"/>
      <w:lang w:val="x-none" w:eastAsia="x-none"/>
    </w:rPr>
  </w:style>
  <w:style w:type="character" w:styleId="a5">
    <w:name w:val="page number"/>
    <w:basedOn w:val="a0"/>
  </w:style>
  <w:style w:type="paragraph" w:styleId="a6">
    <w:name w:val="header"/>
    <w:basedOn w:val="a"/>
    <w:link w:val="a7"/>
    <w:uiPriority w:val="99"/>
    <w:pPr>
      <w:tabs>
        <w:tab w:val="center" w:pos="4677"/>
        <w:tab w:val="right" w:pos="9355"/>
      </w:tabs>
    </w:pPr>
    <w:rPr>
      <w:sz w:val="26"/>
      <w:szCs w:val="26"/>
      <w:lang w:val="x-none" w:eastAsia="x-none"/>
    </w:rPr>
  </w:style>
  <w:style w:type="paragraph" w:styleId="a8">
    <w:name w:val="caption"/>
    <w:basedOn w:val="a"/>
    <w:next w:val="a"/>
    <w:qFormat/>
    <w:pPr>
      <w:ind w:firstLine="709"/>
      <w:jc w:val="center"/>
      <w:outlineLvl w:val="0"/>
    </w:pPr>
    <w:rPr>
      <w:b/>
    </w:rPr>
  </w:style>
  <w:style w:type="paragraph" w:styleId="a9">
    <w:name w:val="Body Text Indent"/>
    <w:basedOn w:val="a"/>
    <w:link w:val="aa"/>
    <w:pPr>
      <w:ind w:firstLine="720"/>
      <w:jc w:val="both"/>
    </w:pPr>
    <w:rPr>
      <w:szCs w:val="20"/>
      <w:lang w:val="x-none" w:eastAsia="x-none"/>
    </w:rPr>
  </w:style>
  <w:style w:type="paragraph" w:styleId="22">
    <w:name w:val="Body Text Indent 2"/>
    <w:basedOn w:val="a"/>
    <w:link w:val="23"/>
    <w:pPr>
      <w:ind w:firstLine="708"/>
      <w:jc w:val="both"/>
    </w:pPr>
    <w:rPr>
      <w:lang w:val="x-none" w:eastAsia="x-none"/>
    </w:rPr>
  </w:style>
  <w:style w:type="paragraph" w:styleId="30">
    <w:name w:val="Body Text Indent 3"/>
    <w:basedOn w:val="a"/>
    <w:link w:val="31"/>
    <w:pPr>
      <w:spacing w:after="120"/>
      <w:ind w:left="283"/>
    </w:pPr>
    <w:rPr>
      <w:sz w:val="16"/>
      <w:szCs w:val="16"/>
      <w:lang w:val="x-none" w:eastAsia="x-none"/>
    </w:rPr>
  </w:style>
  <w:style w:type="paragraph" w:styleId="32">
    <w:name w:val="Body Text 3"/>
    <w:basedOn w:val="a"/>
    <w:pPr>
      <w:jc w:val="center"/>
      <w:outlineLvl w:val="0"/>
    </w:pPr>
    <w:rPr>
      <w:b/>
      <w:bCs/>
    </w:rPr>
  </w:style>
  <w:style w:type="paragraph" w:styleId="ab">
    <w:name w:val="Balloon Text"/>
    <w:basedOn w:val="a"/>
    <w:link w:val="ac"/>
    <w:uiPriority w:val="99"/>
    <w:semiHidden/>
    <w:rPr>
      <w:rFonts w:ascii="Tahoma" w:hAnsi="Tahoma" w:cs="Tahoma"/>
      <w:sz w:val="16"/>
      <w:szCs w:val="16"/>
    </w:rPr>
  </w:style>
  <w:style w:type="paragraph" w:customStyle="1" w:styleId="ConsPlusNormal">
    <w:name w:val="ConsPlusNormal"/>
    <w:rsid w:val="00AB3BF7"/>
    <w:pPr>
      <w:widowControl w:val="0"/>
      <w:autoSpaceDE w:val="0"/>
      <w:autoSpaceDN w:val="0"/>
      <w:adjustRightInd w:val="0"/>
      <w:ind w:firstLine="720"/>
    </w:pPr>
    <w:rPr>
      <w:rFonts w:ascii="Arial" w:hAnsi="Arial" w:cs="Arial"/>
    </w:rPr>
  </w:style>
  <w:style w:type="table" w:styleId="ad">
    <w:name w:val="Table Grid"/>
    <w:basedOn w:val="a1"/>
    <w:uiPriority w:val="39"/>
    <w:rsid w:val="00FB4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rsid w:val="00251601"/>
    <w:pPr>
      <w:tabs>
        <w:tab w:val="center" w:pos="4677"/>
        <w:tab w:val="right" w:pos="9355"/>
      </w:tabs>
    </w:pPr>
    <w:rPr>
      <w:lang w:val="x-none" w:eastAsia="x-none"/>
    </w:rPr>
  </w:style>
  <w:style w:type="character" w:customStyle="1" w:styleId="af">
    <w:name w:val="Нижний колонтитул Знак"/>
    <w:link w:val="ae"/>
    <w:uiPriority w:val="99"/>
    <w:rsid w:val="00251601"/>
    <w:rPr>
      <w:sz w:val="24"/>
      <w:szCs w:val="24"/>
    </w:rPr>
  </w:style>
  <w:style w:type="character" w:customStyle="1" w:styleId="a4">
    <w:name w:val="Основной текст Знак"/>
    <w:link w:val="a3"/>
    <w:uiPriority w:val="99"/>
    <w:rsid w:val="00861533"/>
    <w:rPr>
      <w:sz w:val="24"/>
    </w:rPr>
  </w:style>
  <w:style w:type="character" w:customStyle="1" w:styleId="aa">
    <w:name w:val="Основной текст с отступом Знак"/>
    <w:link w:val="a9"/>
    <w:rsid w:val="00CB3A3C"/>
    <w:rPr>
      <w:sz w:val="24"/>
    </w:rPr>
  </w:style>
  <w:style w:type="paragraph" w:styleId="af0">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З,Текст сноски Знак1"/>
    <w:basedOn w:val="a"/>
    <w:link w:val="af1"/>
    <w:rsid w:val="00A821D7"/>
    <w:rPr>
      <w:sz w:val="20"/>
      <w:szCs w:val="20"/>
    </w:rPr>
  </w:style>
  <w:style w:type="character" w:customStyle="1" w:styleId="af1">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basedOn w:val="a0"/>
    <w:link w:val="af0"/>
    <w:rsid w:val="00A821D7"/>
  </w:style>
  <w:style w:type="character" w:styleId="af2">
    <w:name w:val="footnote reference"/>
    <w:rsid w:val="00A821D7"/>
    <w:rPr>
      <w:vertAlign w:val="superscript"/>
    </w:rPr>
  </w:style>
  <w:style w:type="paragraph" w:styleId="af3">
    <w:name w:val="Normal (Web)"/>
    <w:basedOn w:val="a"/>
    <w:uiPriority w:val="99"/>
    <w:unhideWhenUsed/>
    <w:rsid w:val="008E2508"/>
    <w:pPr>
      <w:spacing w:before="100" w:beforeAutospacing="1" w:after="100" w:afterAutospacing="1"/>
    </w:pPr>
  </w:style>
  <w:style w:type="character" w:customStyle="1" w:styleId="21">
    <w:name w:val="Основной текст 2 Знак"/>
    <w:link w:val="20"/>
    <w:uiPriority w:val="99"/>
    <w:rsid w:val="008045A6"/>
    <w:rPr>
      <w:b/>
      <w:sz w:val="24"/>
    </w:rPr>
  </w:style>
  <w:style w:type="paragraph" w:customStyle="1" w:styleId="ConsNonformat">
    <w:name w:val="ConsNonformat"/>
    <w:rsid w:val="00F2562B"/>
    <w:pPr>
      <w:widowControl w:val="0"/>
      <w:autoSpaceDE w:val="0"/>
      <w:autoSpaceDN w:val="0"/>
      <w:adjustRightInd w:val="0"/>
      <w:ind w:right="19772"/>
    </w:pPr>
    <w:rPr>
      <w:rFonts w:ascii="Courier New" w:hAnsi="Courier New" w:cs="Courier New"/>
      <w:sz w:val="18"/>
      <w:szCs w:val="18"/>
    </w:rPr>
  </w:style>
  <w:style w:type="character" w:customStyle="1" w:styleId="a7">
    <w:name w:val="Верхний колонтитул Знак"/>
    <w:link w:val="a6"/>
    <w:uiPriority w:val="99"/>
    <w:rsid w:val="00140F58"/>
    <w:rPr>
      <w:sz w:val="26"/>
      <w:szCs w:val="26"/>
    </w:rPr>
  </w:style>
  <w:style w:type="character" w:customStyle="1" w:styleId="23">
    <w:name w:val="Основной текст с отступом 2 Знак"/>
    <w:link w:val="22"/>
    <w:rsid w:val="00140F58"/>
    <w:rPr>
      <w:sz w:val="24"/>
      <w:szCs w:val="24"/>
    </w:rPr>
  </w:style>
  <w:style w:type="character" w:customStyle="1" w:styleId="31">
    <w:name w:val="Основной текст с отступом 3 Знак"/>
    <w:link w:val="30"/>
    <w:rsid w:val="00140F58"/>
    <w:rPr>
      <w:sz w:val="16"/>
      <w:szCs w:val="16"/>
    </w:rPr>
  </w:style>
  <w:style w:type="paragraph" w:customStyle="1" w:styleId="10">
    <w:name w:val="Текст1"/>
    <w:basedOn w:val="a"/>
    <w:rsid w:val="00140F58"/>
    <w:rPr>
      <w:rFonts w:ascii="Courier New" w:hAnsi="Courier New"/>
      <w:sz w:val="20"/>
      <w:szCs w:val="20"/>
    </w:rPr>
  </w:style>
  <w:style w:type="paragraph" w:customStyle="1" w:styleId="11">
    <w:name w:val="Текст1"/>
    <w:basedOn w:val="a"/>
    <w:rsid w:val="00140F58"/>
    <w:rPr>
      <w:rFonts w:ascii="Courier New" w:hAnsi="Courier New"/>
      <w:sz w:val="20"/>
      <w:szCs w:val="20"/>
    </w:rPr>
  </w:style>
  <w:style w:type="paragraph" w:customStyle="1" w:styleId="af4">
    <w:name w:val="Знак Знак Знак"/>
    <w:basedOn w:val="a"/>
    <w:rsid w:val="00EF0ECD"/>
    <w:pPr>
      <w:tabs>
        <w:tab w:val="num" w:pos="360"/>
      </w:tabs>
      <w:spacing w:after="160" w:line="240" w:lineRule="exact"/>
    </w:pPr>
    <w:rPr>
      <w:rFonts w:ascii="Verdana" w:hAnsi="Verdana" w:cs="Verdana"/>
      <w:sz w:val="20"/>
      <w:szCs w:val="20"/>
      <w:lang w:val="en-US" w:eastAsia="en-US"/>
    </w:rPr>
  </w:style>
  <w:style w:type="paragraph" w:styleId="af5">
    <w:name w:val="endnote text"/>
    <w:basedOn w:val="a"/>
    <w:link w:val="af6"/>
    <w:rsid w:val="00D6454C"/>
    <w:rPr>
      <w:sz w:val="20"/>
      <w:szCs w:val="20"/>
    </w:rPr>
  </w:style>
  <w:style w:type="character" w:customStyle="1" w:styleId="af6">
    <w:name w:val="Текст концевой сноски Знак"/>
    <w:basedOn w:val="a0"/>
    <w:link w:val="af5"/>
    <w:rsid w:val="00D6454C"/>
  </w:style>
  <w:style w:type="character" w:styleId="af7">
    <w:name w:val="endnote reference"/>
    <w:rsid w:val="00D6454C"/>
    <w:rPr>
      <w:vertAlign w:val="superscript"/>
    </w:rPr>
  </w:style>
  <w:style w:type="paragraph" w:styleId="af8">
    <w:name w:val="List Paragraph"/>
    <w:basedOn w:val="a"/>
    <w:uiPriority w:val="34"/>
    <w:qFormat/>
    <w:rsid w:val="00754B05"/>
    <w:pPr>
      <w:spacing w:line="276" w:lineRule="auto"/>
      <w:ind w:left="720" w:firstLine="709"/>
      <w:contextualSpacing/>
    </w:pPr>
    <w:rPr>
      <w:rFonts w:ascii="Cambria" w:eastAsia="Calibri" w:hAnsi="Cambria"/>
      <w:sz w:val="22"/>
      <w:szCs w:val="22"/>
      <w:lang w:val="en-US" w:eastAsia="en-US" w:bidi="en-US"/>
    </w:rPr>
  </w:style>
  <w:style w:type="character" w:customStyle="1" w:styleId="50">
    <w:name w:val="Заголовок 5 Знак"/>
    <w:link w:val="5"/>
    <w:rsid w:val="006B6C63"/>
    <w:rPr>
      <w:b/>
      <w:sz w:val="24"/>
      <w:szCs w:val="24"/>
    </w:rPr>
  </w:style>
  <w:style w:type="character" w:styleId="af9">
    <w:name w:val="Hyperlink"/>
    <w:uiPriority w:val="99"/>
    <w:unhideWhenUsed/>
    <w:rsid w:val="006B6C63"/>
    <w:rPr>
      <w:color w:val="0000FF"/>
      <w:u w:val="single"/>
    </w:rPr>
  </w:style>
  <w:style w:type="character" w:customStyle="1" w:styleId="apple-converted-space">
    <w:name w:val="apple-converted-space"/>
    <w:rsid w:val="00377AC5"/>
  </w:style>
  <w:style w:type="character" w:styleId="afa">
    <w:name w:val="annotation reference"/>
    <w:uiPriority w:val="99"/>
    <w:rsid w:val="00711BF4"/>
    <w:rPr>
      <w:sz w:val="16"/>
      <w:szCs w:val="16"/>
    </w:rPr>
  </w:style>
  <w:style w:type="paragraph" w:styleId="afb">
    <w:name w:val="annotation text"/>
    <w:basedOn w:val="a"/>
    <w:link w:val="afc"/>
    <w:uiPriority w:val="99"/>
    <w:rsid w:val="00711BF4"/>
    <w:rPr>
      <w:sz w:val="20"/>
      <w:szCs w:val="20"/>
    </w:rPr>
  </w:style>
  <w:style w:type="character" w:customStyle="1" w:styleId="afc">
    <w:name w:val="Текст примечания Знак"/>
    <w:basedOn w:val="a0"/>
    <w:link w:val="afb"/>
    <w:uiPriority w:val="99"/>
    <w:rsid w:val="00711BF4"/>
  </w:style>
  <w:style w:type="paragraph" w:styleId="afd">
    <w:name w:val="annotation subject"/>
    <w:basedOn w:val="afb"/>
    <w:next w:val="afb"/>
    <w:link w:val="afe"/>
    <w:uiPriority w:val="99"/>
    <w:rsid w:val="00711BF4"/>
    <w:rPr>
      <w:b/>
      <w:bCs/>
    </w:rPr>
  </w:style>
  <w:style w:type="character" w:customStyle="1" w:styleId="afe">
    <w:name w:val="Тема примечания Знак"/>
    <w:link w:val="afd"/>
    <w:uiPriority w:val="99"/>
    <w:rsid w:val="00711BF4"/>
    <w:rPr>
      <w:b/>
      <w:bCs/>
    </w:rPr>
  </w:style>
  <w:style w:type="paragraph" w:styleId="aff">
    <w:name w:val="No Spacing"/>
    <w:uiPriority w:val="1"/>
    <w:qFormat/>
    <w:rsid w:val="00C62C68"/>
    <w:pPr>
      <w:jc w:val="both"/>
    </w:pPr>
    <w:rPr>
      <w:rFonts w:ascii="Calibri" w:eastAsia="Calibri" w:hAnsi="Calibri"/>
      <w:sz w:val="22"/>
      <w:szCs w:val="22"/>
      <w:lang w:eastAsia="en-US"/>
    </w:rPr>
  </w:style>
  <w:style w:type="character" w:customStyle="1" w:styleId="ac">
    <w:name w:val="Текст выноски Знак"/>
    <w:link w:val="ab"/>
    <w:uiPriority w:val="99"/>
    <w:semiHidden/>
    <w:rsid w:val="00213950"/>
    <w:rPr>
      <w:rFonts w:ascii="Tahoma" w:hAnsi="Tahoma" w:cs="Tahoma"/>
      <w:sz w:val="16"/>
      <w:szCs w:val="16"/>
    </w:rPr>
  </w:style>
  <w:style w:type="paragraph" w:styleId="aff0">
    <w:name w:val="Revision"/>
    <w:hidden/>
    <w:uiPriority w:val="99"/>
    <w:semiHidden/>
    <w:rsid w:val="00213950"/>
    <w:rPr>
      <w:rFonts w:ascii="Calibri" w:eastAsia="Calibri" w:hAnsi="Calibri"/>
      <w:sz w:val="22"/>
      <w:szCs w:val="22"/>
      <w:lang w:eastAsia="en-US"/>
    </w:rPr>
  </w:style>
  <w:style w:type="paragraph" w:customStyle="1" w:styleId="12">
    <w:name w:val="Обычный1"/>
    <w:rsid w:val="00213950"/>
    <w:pPr>
      <w:snapToGrid w:val="0"/>
      <w:spacing w:before="100" w:after="100"/>
    </w:pPr>
    <w:rPr>
      <w:sz w:val="24"/>
    </w:rPr>
  </w:style>
  <w:style w:type="paragraph" w:customStyle="1" w:styleId="Default">
    <w:name w:val="Default"/>
    <w:rsid w:val="00881E0B"/>
    <w:pPr>
      <w:autoSpaceDE w:val="0"/>
      <w:autoSpaceDN w:val="0"/>
      <w:adjustRightInd w:val="0"/>
    </w:pPr>
    <w:rPr>
      <w:rFonts w:ascii="Arial" w:hAnsi="Arial" w:cs="Arial"/>
      <w:color w:val="000000"/>
      <w:sz w:val="24"/>
      <w:szCs w:val="24"/>
    </w:rPr>
  </w:style>
  <w:style w:type="paragraph" w:customStyle="1" w:styleId="ConsPlusTitle">
    <w:name w:val="ConsPlusTitle"/>
    <w:rsid w:val="00B71E1E"/>
    <w:pPr>
      <w:widowControl w:val="0"/>
      <w:autoSpaceDE w:val="0"/>
      <w:autoSpaceDN w:val="0"/>
      <w:adjustRightInd w:val="0"/>
    </w:pPr>
    <w:rPr>
      <w:b/>
      <w:bCs/>
      <w:sz w:val="28"/>
      <w:szCs w:val="28"/>
    </w:rPr>
  </w:style>
  <w:style w:type="paragraph" w:customStyle="1" w:styleId="Standard">
    <w:name w:val="Standard"/>
    <w:rsid w:val="00F65490"/>
    <w:pPr>
      <w:widowControl w:val="0"/>
      <w:suppressAutoHyphens/>
      <w:autoSpaceDN w:val="0"/>
      <w:jc w:val="both"/>
      <w:textAlignment w:val="baseline"/>
    </w:pPr>
    <w:rPr>
      <w:rFonts w:eastAsiaTheme="minorEastAsia" w:cs="Tahoma"/>
      <w:kern w:val="3"/>
      <w:sz w:val="24"/>
      <w:szCs w:val="24"/>
      <w:lang w:val="en-US" w:eastAsia="en-US"/>
    </w:rPr>
  </w:style>
  <w:style w:type="character" w:styleId="aff1">
    <w:name w:val="Unresolved Mention"/>
    <w:basedOn w:val="a0"/>
    <w:uiPriority w:val="99"/>
    <w:semiHidden/>
    <w:unhideWhenUsed/>
    <w:rsid w:val="00C70163"/>
    <w:rPr>
      <w:color w:val="605E5C"/>
      <w:shd w:val="clear" w:color="auto" w:fill="E1DFDD"/>
    </w:rPr>
  </w:style>
  <w:style w:type="character" w:styleId="aff2">
    <w:name w:val="FollowedHyperlink"/>
    <w:basedOn w:val="a0"/>
    <w:semiHidden/>
    <w:unhideWhenUsed/>
    <w:rsid w:val="00247A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34">
      <w:bodyDiv w:val="1"/>
      <w:marLeft w:val="0"/>
      <w:marRight w:val="0"/>
      <w:marTop w:val="0"/>
      <w:marBottom w:val="0"/>
      <w:divBdr>
        <w:top w:val="none" w:sz="0" w:space="0" w:color="auto"/>
        <w:left w:val="none" w:sz="0" w:space="0" w:color="auto"/>
        <w:bottom w:val="none" w:sz="0" w:space="0" w:color="auto"/>
        <w:right w:val="none" w:sz="0" w:space="0" w:color="auto"/>
      </w:divBdr>
    </w:div>
    <w:div w:id="31461859">
      <w:bodyDiv w:val="1"/>
      <w:marLeft w:val="0"/>
      <w:marRight w:val="0"/>
      <w:marTop w:val="0"/>
      <w:marBottom w:val="0"/>
      <w:divBdr>
        <w:top w:val="none" w:sz="0" w:space="0" w:color="auto"/>
        <w:left w:val="none" w:sz="0" w:space="0" w:color="auto"/>
        <w:bottom w:val="none" w:sz="0" w:space="0" w:color="auto"/>
        <w:right w:val="none" w:sz="0" w:space="0" w:color="auto"/>
      </w:divBdr>
    </w:div>
    <w:div w:id="297802344">
      <w:bodyDiv w:val="1"/>
      <w:marLeft w:val="0"/>
      <w:marRight w:val="0"/>
      <w:marTop w:val="0"/>
      <w:marBottom w:val="0"/>
      <w:divBdr>
        <w:top w:val="none" w:sz="0" w:space="0" w:color="auto"/>
        <w:left w:val="none" w:sz="0" w:space="0" w:color="auto"/>
        <w:bottom w:val="none" w:sz="0" w:space="0" w:color="auto"/>
        <w:right w:val="none" w:sz="0" w:space="0" w:color="auto"/>
      </w:divBdr>
    </w:div>
    <w:div w:id="302780588">
      <w:bodyDiv w:val="1"/>
      <w:marLeft w:val="0"/>
      <w:marRight w:val="0"/>
      <w:marTop w:val="0"/>
      <w:marBottom w:val="0"/>
      <w:divBdr>
        <w:top w:val="none" w:sz="0" w:space="0" w:color="auto"/>
        <w:left w:val="none" w:sz="0" w:space="0" w:color="auto"/>
        <w:bottom w:val="none" w:sz="0" w:space="0" w:color="auto"/>
        <w:right w:val="none" w:sz="0" w:space="0" w:color="auto"/>
      </w:divBdr>
    </w:div>
    <w:div w:id="441656417">
      <w:bodyDiv w:val="1"/>
      <w:marLeft w:val="0"/>
      <w:marRight w:val="0"/>
      <w:marTop w:val="0"/>
      <w:marBottom w:val="0"/>
      <w:divBdr>
        <w:top w:val="none" w:sz="0" w:space="0" w:color="auto"/>
        <w:left w:val="none" w:sz="0" w:space="0" w:color="auto"/>
        <w:bottom w:val="none" w:sz="0" w:space="0" w:color="auto"/>
        <w:right w:val="none" w:sz="0" w:space="0" w:color="auto"/>
      </w:divBdr>
    </w:div>
    <w:div w:id="641498481">
      <w:bodyDiv w:val="1"/>
      <w:marLeft w:val="0"/>
      <w:marRight w:val="0"/>
      <w:marTop w:val="0"/>
      <w:marBottom w:val="0"/>
      <w:divBdr>
        <w:top w:val="none" w:sz="0" w:space="0" w:color="auto"/>
        <w:left w:val="none" w:sz="0" w:space="0" w:color="auto"/>
        <w:bottom w:val="none" w:sz="0" w:space="0" w:color="auto"/>
        <w:right w:val="none" w:sz="0" w:space="0" w:color="auto"/>
      </w:divBdr>
    </w:div>
    <w:div w:id="991979573">
      <w:bodyDiv w:val="1"/>
      <w:marLeft w:val="0"/>
      <w:marRight w:val="0"/>
      <w:marTop w:val="0"/>
      <w:marBottom w:val="0"/>
      <w:divBdr>
        <w:top w:val="none" w:sz="0" w:space="0" w:color="auto"/>
        <w:left w:val="none" w:sz="0" w:space="0" w:color="auto"/>
        <w:bottom w:val="none" w:sz="0" w:space="0" w:color="auto"/>
        <w:right w:val="none" w:sz="0" w:space="0" w:color="auto"/>
      </w:divBdr>
    </w:div>
    <w:div w:id="1174684989">
      <w:bodyDiv w:val="1"/>
      <w:marLeft w:val="0"/>
      <w:marRight w:val="0"/>
      <w:marTop w:val="0"/>
      <w:marBottom w:val="0"/>
      <w:divBdr>
        <w:top w:val="none" w:sz="0" w:space="0" w:color="auto"/>
        <w:left w:val="none" w:sz="0" w:space="0" w:color="auto"/>
        <w:bottom w:val="none" w:sz="0" w:space="0" w:color="auto"/>
        <w:right w:val="none" w:sz="0" w:space="0" w:color="auto"/>
      </w:divBdr>
    </w:div>
    <w:div w:id="1201043392">
      <w:bodyDiv w:val="1"/>
      <w:marLeft w:val="0"/>
      <w:marRight w:val="0"/>
      <w:marTop w:val="0"/>
      <w:marBottom w:val="0"/>
      <w:divBdr>
        <w:top w:val="none" w:sz="0" w:space="0" w:color="auto"/>
        <w:left w:val="none" w:sz="0" w:space="0" w:color="auto"/>
        <w:bottom w:val="none" w:sz="0" w:space="0" w:color="auto"/>
        <w:right w:val="none" w:sz="0" w:space="0" w:color="auto"/>
      </w:divBdr>
    </w:div>
    <w:div w:id="1282810295">
      <w:bodyDiv w:val="1"/>
      <w:marLeft w:val="0"/>
      <w:marRight w:val="0"/>
      <w:marTop w:val="0"/>
      <w:marBottom w:val="0"/>
      <w:divBdr>
        <w:top w:val="none" w:sz="0" w:space="0" w:color="auto"/>
        <w:left w:val="none" w:sz="0" w:space="0" w:color="auto"/>
        <w:bottom w:val="none" w:sz="0" w:space="0" w:color="auto"/>
        <w:right w:val="none" w:sz="0" w:space="0" w:color="auto"/>
      </w:divBdr>
    </w:div>
    <w:div w:id="1343510325">
      <w:bodyDiv w:val="1"/>
      <w:marLeft w:val="0"/>
      <w:marRight w:val="0"/>
      <w:marTop w:val="0"/>
      <w:marBottom w:val="0"/>
      <w:divBdr>
        <w:top w:val="none" w:sz="0" w:space="0" w:color="auto"/>
        <w:left w:val="none" w:sz="0" w:space="0" w:color="auto"/>
        <w:bottom w:val="none" w:sz="0" w:space="0" w:color="auto"/>
        <w:right w:val="none" w:sz="0" w:space="0" w:color="auto"/>
      </w:divBdr>
    </w:div>
    <w:div w:id="1374427929">
      <w:bodyDiv w:val="1"/>
      <w:marLeft w:val="0"/>
      <w:marRight w:val="0"/>
      <w:marTop w:val="0"/>
      <w:marBottom w:val="0"/>
      <w:divBdr>
        <w:top w:val="none" w:sz="0" w:space="0" w:color="auto"/>
        <w:left w:val="none" w:sz="0" w:space="0" w:color="auto"/>
        <w:bottom w:val="none" w:sz="0" w:space="0" w:color="auto"/>
        <w:right w:val="none" w:sz="0" w:space="0" w:color="auto"/>
      </w:divBdr>
    </w:div>
    <w:div w:id="1432969221">
      <w:bodyDiv w:val="1"/>
      <w:marLeft w:val="0"/>
      <w:marRight w:val="0"/>
      <w:marTop w:val="0"/>
      <w:marBottom w:val="0"/>
      <w:divBdr>
        <w:top w:val="none" w:sz="0" w:space="0" w:color="auto"/>
        <w:left w:val="none" w:sz="0" w:space="0" w:color="auto"/>
        <w:bottom w:val="none" w:sz="0" w:space="0" w:color="auto"/>
        <w:right w:val="none" w:sz="0" w:space="0" w:color="auto"/>
      </w:divBdr>
    </w:div>
    <w:div w:id="1502625985">
      <w:bodyDiv w:val="1"/>
      <w:marLeft w:val="0"/>
      <w:marRight w:val="0"/>
      <w:marTop w:val="0"/>
      <w:marBottom w:val="0"/>
      <w:divBdr>
        <w:top w:val="none" w:sz="0" w:space="0" w:color="auto"/>
        <w:left w:val="none" w:sz="0" w:space="0" w:color="auto"/>
        <w:bottom w:val="none" w:sz="0" w:space="0" w:color="auto"/>
        <w:right w:val="none" w:sz="0" w:space="0" w:color="auto"/>
      </w:divBdr>
    </w:div>
    <w:div w:id="1804612471">
      <w:bodyDiv w:val="1"/>
      <w:marLeft w:val="0"/>
      <w:marRight w:val="0"/>
      <w:marTop w:val="0"/>
      <w:marBottom w:val="0"/>
      <w:divBdr>
        <w:top w:val="none" w:sz="0" w:space="0" w:color="auto"/>
        <w:left w:val="none" w:sz="0" w:space="0" w:color="auto"/>
        <w:bottom w:val="none" w:sz="0" w:space="0" w:color="auto"/>
        <w:right w:val="none" w:sz="0" w:space="0" w:color="auto"/>
      </w:divBdr>
    </w:div>
    <w:div w:id="1805586408">
      <w:bodyDiv w:val="1"/>
      <w:marLeft w:val="0"/>
      <w:marRight w:val="0"/>
      <w:marTop w:val="0"/>
      <w:marBottom w:val="0"/>
      <w:divBdr>
        <w:top w:val="none" w:sz="0" w:space="0" w:color="auto"/>
        <w:left w:val="none" w:sz="0" w:space="0" w:color="auto"/>
        <w:bottom w:val="none" w:sz="0" w:space="0" w:color="auto"/>
        <w:right w:val="none" w:sz="0" w:space="0" w:color="auto"/>
      </w:divBdr>
    </w:div>
    <w:div w:id="1839880946">
      <w:bodyDiv w:val="1"/>
      <w:marLeft w:val="0"/>
      <w:marRight w:val="0"/>
      <w:marTop w:val="0"/>
      <w:marBottom w:val="0"/>
      <w:divBdr>
        <w:top w:val="none" w:sz="0" w:space="0" w:color="auto"/>
        <w:left w:val="none" w:sz="0" w:space="0" w:color="auto"/>
        <w:bottom w:val="none" w:sz="0" w:space="0" w:color="auto"/>
        <w:right w:val="none" w:sz="0" w:space="0" w:color="auto"/>
      </w:divBdr>
    </w:div>
    <w:div w:id="1879776824">
      <w:bodyDiv w:val="1"/>
      <w:marLeft w:val="0"/>
      <w:marRight w:val="0"/>
      <w:marTop w:val="0"/>
      <w:marBottom w:val="0"/>
      <w:divBdr>
        <w:top w:val="none" w:sz="0" w:space="0" w:color="auto"/>
        <w:left w:val="none" w:sz="0" w:space="0" w:color="auto"/>
        <w:bottom w:val="none" w:sz="0" w:space="0" w:color="auto"/>
        <w:right w:val="none" w:sz="0" w:space="0" w:color="auto"/>
      </w:divBdr>
    </w:div>
    <w:div w:id="1929607412">
      <w:bodyDiv w:val="1"/>
      <w:marLeft w:val="0"/>
      <w:marRight w:val="0"/>
      <w:marTop w:val="0"/>
      <w:marBottom w:val="0"/>
      <w:divBdr>
        <w:top w:val="none" w:sz="0" w:space="0" w:color="auto"/>
        <w:left w:val="none" w:sz="0" w:space="0" w:color="auto"/>
        <w:bottom w:val="none" w:sz="0" w:space="0" w:color="auto"/>
        <w:right w:val="none" w:sz="0" w:space="0" w:color="auto"/>
      </w:divBdr>
    </w:div>
    <w:div w:id="1984963183">
      <w:bodyDiv w:val="1"/>
      <w:marLeft w:val="0"/>
      <w:marRight w:val="0"/>
      <w:marTop w:val="0"/>
      <w:marBottom w:val="0"/>
      <w:divBdr>
        <w:top w:val="none" w:sz="0" w:space="0" w:color="auto"/>
        <w:left w:val="none" w:sz="0" w:space="0" w:color="auto"/>
        <w:bottom w:val="none" w:sz="0" w:space="0" w:color="auto"/>
        <w:right w:val="none" w:sz="0" w:space="0" w:color="auto"/>
      </w:divBdr>
      <w:divsChild>
        <w:div w:id="131607805">
          <w:marLeft w:val="0"/>
          <w:marRight w:val="0"/>
          <w:marTop w:val="0"/>
          <w:marBottom w:val="0"/>
          <w:divBdr>
            <w:top w:val="none" w:sz="0" w:space="0" w:color="auto"/>
            <w:left w:val="none" w:sz="0" w:space="0" w:color="auto"/>
            <w:bottom w:val="none" w:sz="0" w:space="0" w:color="auto"/>
            <w:right w:val="none" w:sz="0" w:space="0" w:color="auto"/>
          </w:divBdr>
          <w:divsChild>
            <w:div w:id="12285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57928-8CDD-43D2-87F8-FE6BADE70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FRMP</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IZaharov</dc:creator>
  <cp:lastModifiedBy>Алексей Томин</cp:lastModifiedBy>
  <cp:revision>2</cp:revision>
  <cp:lastPrinted>2022-07-11T11:20:00Z</cp:lastPrinted>
  <dcterms:created xsi:type="dcterms:W3CDTF">2022-07-18T06:40:00Z</dcterms:created>
  <dcterms:modified xsi:type="dcterms:W3CDTF">2022-07-18T06:40:00Z</dcterms:modified>
</cp:coreProperties>
</file>