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426" w:type="dxa"/>
        <w:tblLook w:val="04A0" w:firstRow="1" w:lastRow="0" w:firstColumn="1" w:lastColumn="0" w:noHBand="0" w:noVBand="1"/>
      </w:tblPr>
      <w:tblGrid>
        <w:gridCol w:w="4823"/>
        <w:gridCol w:w="5526"/>
      </w:tblGrid>
      <w:tr w:rsidR="00D87486" w:rsidRPr="00803857" w14:paraId="024EF1A9" w14:textId="77777777" w:rsidTr="00185BC4">
        <w:tc>
          <w:tcPr>
            <w:tcW w:w="4823" w:type="dxa"/>
          </w:tcPr>
          <w:p w14:paraId="0FE1F590" w14:textId="77777777" w:rsidR="00D87486" w:rsidRPr="00803857" w:rsidRDefault="00D87486" w:rsidP="00185BC4">
            <w:pPr>
              <w:ind w:left="170"/>
              <w:jc w:val="both"/>
              <w:rPr>
                <w:b/>
                <w:sz w:val="20"/>
                <w:szCs w:val="20"/>
              </w:rPr>
            </w:pPr>
            <w:r w:rsidRPr="00803857">
              <w:rPr>
                <w:b/>
                <w:sz w:val="20"/>
                <w:szCs w:val="20"/>
              </w:rPr>
              <w:t>СОГЛАСОВАН</w:t>
            </w:r>
          </w:p>
          <w:p w14:paraId="6A964E7B" w14:textId="5ED30F8A" w:rsidR="00D87486" w:rsidRPr="00803857" w:rsidRDefault="00D87486" w:rsidP="00185BC4">
            <w:pPr>
              <w:ind w:left="170"/>
              <w:jc w:val="both"/>
              <w:rPr>
                <w:sz w:val="20"/>
                <w:szCs w:val="20"/>
              </w:rPr>
            </w:pPr>
            <w:r w:rsidRPr="00803857">
              <w:rPr>
                <w:sz w:val="20"/>
                <w:szCs w:val="20"/>
              </w:rPr>
              <w:t xml:space="preserve">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w:t>
            </w:r>
            <w:r w:rsidRPr="006D7757">
              <w:rPr>
                <w:sz w:val="20"/>
                <w:szCs w:val="20"/>
              </w:rPr>
              <w:t>от «</w:t>
            </w:r>
            <w:r>
              <w:rPr>
                <w:sz w:val="20"/>
                <w:szCs w:val="20"/>
              </w:rPr>
              <w:t>1</w:t>
            </w:r>
            <w:r>
              <w:rPr>
                <w:sz w:val="20"/>
                <w:szCs w:val="20"/>
              </w:rPr>
              <w:t>9</w:t>
            </w:r>
            <w:r w:rsidRPr="006D7757">
              <w:rPr>
                <w:sz w:val="20"/>
                <w:szCs w:val="20"/>
              </w:rPr>
              <w:t>»</w:t>
            </w:r>
            <w:r>
              <w:rPr>
                <w:sz w:val="20"/>
                <w:szCs w:val="20"/>
              </w:rPr>
              <w:t xml:space="preserve"> </w:t>
            </w:r>
            <w:r>
              <w:rPr>
                <w:sz w:val="20"/>
                <w:szCs w:val="20"/>
              </w:rPr>
              <w:t>августа</w:t>
            </w:r>
            <w:bookmarkStart w:id="0" w:name="_GoBack"/>
            <w:bookmarkEnd w:id="0"/>
            <w:r w:rsidRPr="006D7757">
              <w:rPr>
                <w:sz w:val="20"/>
                <w:szCs w:val="20"/>
              </w:rPr>
              <w:t xml:space="preserve"> 2022» года № </w:t>
            </w:r>
            <w:r>
              <w:rPr>
                <w:sz w:val="20"/>
                <w:szCs w:val="20"/>
              </w:rPr>
              <w:t>3</w:t>
            </w:r>
            <w:r>
              <w:rPr>
                <w:sz w:val="20"/>
                <w:szCs w:val="20"/>
              </w:rPr>
              <w:t>5</w:t>
            </w:r>
          </w:p>
          <w:p w14:paraId="234DB53A" w14:textId="77777777" w:rsidR="00D87486" w:rsidRPr="00803857" w:rsidRDefault="00D87486" w:rsidP="00185BC4">
            <w:pPr>
              <w:ind w:left="602"/>
              <w:jc w:val="both"/>
              <w:rPr>
                <w:sz w:val="20"/>
                <w:szCs w:val="20"/>
              </w:rPr>
            </w:pPr>
          </w:p>
        </w:tc>
        <w:tc>
          <w:tcPr>
            <w:tcW w:w="5526" w:type="dxa"/>
            <w:hideMark/>
          </w:tcPr>
          <w:p w14:paraId="772E452A" w14:textId="77777777" w:rsidR="00D87486" w:rsidRPr="00803857" w:rsidRDefault="00D87486" w:rsidP="00185BC4">
            <w:pPr>
              <w:keepNext/>
              <w:keepLines/>
              <w:ind w:left="167" w:right="310"/>
              <w:outlineLvl w:val="4"/>
              <w:rPr>
                <w:b/>
                <w:sz w:val="20"/>
                <w:szCs w:val="20"/>
              </w:rPr>
            </w:pPr>
            <w:r w:rsidRPr="00803857">
              <w:rPr>
                <w:b/>
                <w:sz w:val="20"/>
                <w:szCs w:val="20"/>
              </w:rPr>
              <w:t>УТВЕРЖДЕН</w:t>
            </w:r>
          </w:p>
          <w:p w14:paraId="452046F5" w14:textId="3AF50096" w:rsidR="00D87486" w:rsidRPr="00803857" w:rsidRDefault="00D87486" w:rsidP="00185BC4">
            <w:pPr>
              <w:keepNext/>
              <w:keepLines/>
              <w:ind w:left="167" w:right="310"/>
              <w:outlineLvl w:val="4"/>
            </w:pPr>
            <w:r w:rsidRPr="00803857">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20"/>
                <w:szCs w:val="20"/>
              </w:rPr>
              <w:t>22</w:t>
            </w:r>
            <w:r w:rsidRPr="00803857">
              <w:rPr>
                <w:sz w:val="20"/>
                <w:szCs w:val="20"/>
              </w:rPr>
              <w:t xml:space="preserve">» </w:t>
            </w:r>
            <w:r>
              <w:rPr>
                <w:sz w:val="20"/>
                <w:szCs w:val="20"/>
              </w:rPr>
              <w:t>августа</w:t>
            </w:r>
            <w:r w:rsidRPr="00803857">
              <w:rPr>
                <w:sz w:val="20"/>
                <w:szCs w:val="20"/>
              </w:rPr>
              <w:t xml:space="preserve"> 202</w:t>
            </w:r>
            <w:r>
              <w:rPr>
                <w:sz w:val="20"/>
                <w:szCs w:val="20"/>
              </w:rPr>
              <w:t>2</w:t>
            </w:r>
            <w:r w:rsidRPr="00803857">
              <w:rPr>
                <w:sz w:val="20"/>
                <w:szCs w:val="20"/>
              </w:rPr>
              <w:t xml:space="preserve"> года № </w:t>
            </w:r>
            <w:r>
              <w:rPr>
                <w:sz w:val="20"/>
                <w:szCs w:val="20"/>
              </w:rPr>
              <w:t>43</w:t>
            </w:r>
          </w:p>
        </w:tc>
      </w:tr>
    </w:tbl>
    <w:p w14:paraId="709499EC" w14:textId="77777777" w:rsidR="00D87486" w:rsidRPr="0076451F" w:rsidRDefault="00D87486" w:rsidP="0076451F"/>
    <w:p w14:paraId="056BAA43" w14:textId="77777777" w:rsidR="0090246B" w:rsidRDefault="0090246B" w:rsidP="006B6C63">
      <w:pPr>
        <w:pStyle w:val="5"/>
        <w:rPr>
          <w:sz w:val="26"/>
          <w:szCs w:val="26"/>
        </w:rPr>
      </w:pPr>
    </w:p>
    <w:p w14:paraId="549A7986" w14:textId="0F77E3D2" w:rsidR="006B6C63" w:rsidRPr="00A51711" w:rsidRDefault="006B6C63" w:rsidP="006B6C63">
      <w:pPr>
        <w:pStyle w:val="5"/>
        <w:rPr>
          <w:sz w:val="26"/>
          <w:szCs w:val="26"/>
        </w:rPr>
      </w:pPr>
      <w:bookmarkStart w:id="1"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1"/>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2" w:name="_Hlk69974186"/>
      <w:r w:rsidR="004665DD" w:rsidRPr="004665DD">
        <w:rPr>
          <w:sz w:val="26"/>
          <w:szCs w:val="26"/>
        </w:rPr>
        <w:t>не являющихся индивидуальными предпринимателями и</w:t>
      </w:r>
      <w:bookmarkEnd w:id="2"/>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lastRenderedPageBreak/>
        <w:t xml:space="preserve">«Самозанятые» - </w:t>
      </w:r>
      <w:r w:rsidRPr="00013865">
        <w:rPr>
          <w:sz w:val="26"/>
          <w:szCs w:val="26"/>
        </w:rPr>
        <w:t>физические лица,</w:t>
      </w:r>
      <w:r w:rsidR="002E10E1" w:rsidRPr="00013865">
        <w:rPr>
          <w:sz w:val="26"/>
          <w:szCs w:val="26"/>
        </w:rPr>
        <w:t xml:space="preserve"> </w:t>
      </w:r>
      <w:bookmarkStart w:id="3"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3"/>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4" w:name="OLE_LINK1"/>
      <w:bookmarkStart w:id="5" w:name="OLE_LINK2"/>
      <w:r w:rsidR="00377AC5" w:rsidRPr="000F3CEA">
        <w:rPr>
          <w:sz w:val="26"/>
          <w:szCs w:val="26"/>
        </w:rPr>
        <w:t>организации,</w:t>
      </w:r>
      <w:bookmarkEnd w:id="4"/>
      <w:bookmarkEnd w:id="5"/>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77777777" w:rsidR="006B6C63" w:rsidRDefault="006B6C63" w:rsidP="006B6C63">
      <w:pPr>
        <w:tabs>
          <w:tab w:val="num" w:pos="1080"/>
        </w:tabs>
        <w:ind w:firstLine="709"/>
        <w:jc w:val="both"/>
        <w:rPr>
          <w:sz w:val="26"/>
          <w:szCs w:val="26"/>
        </w:rPr>
      </w:pPr>
      <w:r w:rsidRPr="00A51711">
        <w:rPr>
          <w:b/>
          <w:sz w:val="26"/>
          <w:szCs w:val="26"/>
        </w:rPr>
        <w:t xml:space="preserve">«Договор финансирования» </w:t>
      </w:r>
      <w:proofErr w:type="gramStart"/>
      <w:r w:rsidRPr="00A51711">
        <w:rPr>
          <w:sz w:val="26"/>
          <w:szCs w:val="26"/>
        </w:rPr>
        <w:t>–</w:t>
      </w:r>
      <w:r w:rsidRPr="00A51711">
        <w:rPr>
          <w:b/>
          <w:sz w:val="26"/>
          <w:szCs w:val="26"/>
        </w:rPr>
        <w:t xml:space="preserve">  </w:t>
      </w:r>
      <w:r w:rsidRPr="00A51711">
        <w:rPr>
          <w:sz w:val="26"/>
          <w:szCs w:val="26"/>
        </w:rPr>
        <w:t>кредитный</w:t>
      </w:r>
      <w:proofErr w:type="gramEnd"/>
      <w:r w:rsidRPr="00A51711">
        <w:rPr>
          <w:sz w:val="26"/>
          <w:szCs w:val="26"/>
        </w:rPr>
        <w:t xml:space="preserve">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6"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6"/>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77777777"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6AD8BA3E"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p>
    <w:p w14:paraId="73551529" w14:textId="176DC07C" w:rsidR="006B6C63" w:rsidRPr="00A51711" w:rsidRDefault="006B6C63" w:rsidP="006B6C63">
      <w:pPr>
        <w:autoSpaceDE w:val="0"/>
        <w:autoSpaceDN w:val="0"/>
        <w:adjustRightInd w:val="0"/>
        <w:ind w:firstLine="709"/>
        <w:jc w:val="both"/>
        <w:rPr>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3 (три) месяца,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Pr="00A51711">
        <w:rPr>
          <w:rStyle w:val="af2"/>
          <w:sz w:val="26"/>
          <w:szCs w:val="26"/>
        </w:rPr>
        <w:footnoteReference w:id="2"/>
      </w:r>
      <w:r w:rsidRPr="00A51711">
        <w:rPr>
          <w:sz w:val="26"/>
          <w:szCs w:val="26"/>
        </w:rPr>
        <w:t>. Данное требование не применяется в рамках Совместных продуктов Фонда и Корпорации</w:t>
      </w:r>
      <w:r w:rsidR="006B6718">
        <w:rPr>
          <w:sz w:val="26"/>
          <w:szCs w:val="26"/>
        </w:rPr>
        <w:t xml:space="preserve">, и при </w:t>
      </w:r>
      <w:proofErr w:type="spellStart"/>
      <w:r w:rsidR="006B6718">
        <w:rPr>
          <w:sz w:val="26"/>
          <w:szCs w:val="26"/>
        </w:rPr>
        <w:t>Согарантии</w:t>
      </w:r>
      <w:proofErr w:type="spellEnd"/>
      <w:r w:rsidR="007604B7">
        <w:rPr>
          <w:sz w:val="26"/>
          <w:szCs w:val="26"/>
        </w:rPr>
        <w:t>;</w:t>
      </w:r>
      <w:r w:rsidRPr="00A51711">
        <w:rPr>
          <w:sz w:val="26"/>
          <w:szCs w:val="26"/>
        </w:rPr>
        <w:t xml:space="preserve">  </w:t>
      </w:r>
    </w:p>
    <w:p w14:paraId="50B4EB8E" w14:textId="6C675525"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73256A">
        <w:rPr>
          <w:rStyle w:val="af2"/>
          <w:sz w:val="26"/>
          <w:szCs w:val="26"/>
        </w:rPr>
        <w:footnoteReference w:customMarkFollows="1" w:id="3"/>
        <w:t>2</w:t>
      </w:r>
      <w:r w:rsidRPr="00A51711">
        <w:rPr>
          <w:sz w:val="26"/>
          <w:szCs w:val="26"/>
        </w:rPr>
        <w:t>;</w:t>
      </w:r>
    </w:p>
    <w:p w14:paraId="47BD9854" w14:textId="762D10BD"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r w:rsidR="008D066D">
        <w:rPr>
          <w:rStyle w:val="af2"/>
          <w:sz w:val="26"/>
          <w:szCs w:val="26"/>
        </w:rPr>
        <w:footnoteReference w:customMarkFollows="1" w:id="4"/>
        <w:t>3</w:t>
      </w:r>
      <w:r w:rsidRPr="00A51711">
        <w:rPr>
          <w:sz w:val="26"/>
          <w:szCs w:val="26"/>
        </w:rPr>
        <w:t>;</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5B24D669" w14:textId="663B1EE6" w:rsidR="00CA5759" w:rsidRPr="0020626F" w:rsidRDefault="005D70E4" w:rsidP="0043244A">
      <w:pPr>
        <w:ind w:firstLine="709"/>
        <w:jc w:val="both"/>
        <w:rPr>
          <w:rFonts w:ascii="Times New Roman CYR" w:hAnsi="Times New Roman CYR" w:cs="Times New Roman CY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417C8188"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FE68D4">
        <w:rPr>
          <w:rFonts w:ascii="Times New Roman" w:hAnsi="Times New Roman"/>
          <w:sz w:val="26"/>
          <w:szCs w:val="26"/>
          <w:lang w:val="ru-RU"/>
        </w:rPr>
        <w:t>2.</w:t>
      </w:r>
      <w:r w:rsidR="00E7717C">
        <w:rPr>
          <w:rFonts w:ascii="Times New Roman" w:hAnsi="Times New Roman"/>
          <w:sz w:val="26"/>
          <w:szCs w:val="26"/>
          <w:lang w:val="ru-RU"/>
        </w:rPr>
        <w:t>2</w:t>
      </w:r>
      <w:r w:rsidRPr="00FE68D4">
        <w:rPr>
          <w:rFonts w:ascii="Times New Roman" w:hAnsi="Times New Roman"/>
          <w:sz w:val="26"/>
          <w:szCs w:val="26"/>
          <w:lang w:val="ru-RU"/>
        </w:rPr>
        <w:t xml:space="preserve">.2. </w:t>
      </w:r>
      <w:r w:rsidRPr="000B6CD4">
        <w:rPr>
          <w:rFonts w:ascii="Times New Roman" w:hAnsi="Times New Roman"/>
          <w:sz w:val="26"/>
          <w:szCs w:val="26"/>
          <w:lang w:val="ru-RU"/>
        </w:rPr>
        <w:t xml:space="preserve">по договорам финансирования, направленным на цели проведения </w:t>
      </w:r>
      <w:r w:rsidR="00364C58">
        <w:rPr>
          <w:rFonts w:ascii="Times New Roman" w:hAnsi="Times New Roman"/>
          <w:sz w:val="26"/>
          <w:szCs w:val="26"/>
          <w:lang w:val="ru-RU"/>
        </w:rPr>
        <w:t xml:space="preserve">расчетов </w:t>
      </w:r>
      <w:r w:rsidRPr="000B6CD4">
        <w:rPr>
          <w:rFonts w:ascii="Times New Roman" w:hAnsi="Times New Roman"/>
          <w:sz w:val="26"/>
          <w:szCs w:val="26"/>
          <w:lang w:val="ru-RU"/>
        </w:rPr>
        <w:t>по оплате</w:t>
      </w:r>
      <w:r w:rsidRPr="00FE68D4">
        <w:rPr>
          <w:rFonts w:ascii="Times New Roman" w:hAnsi="Times New Roman"/>
          <w:sz w:val="26"/>
          <w:szCs w:val="26"/>
          <w:lang w:val="ru-RU"/>
        </w:rPr>
        <w:t xml:space="preserve"> текущих расходов по договорам займа, по оплате текущих расходов по обслуживанию кредитов (з</w:t>
      </w:r>
      <w:r w:rsidRPr="000B6CD4">
        <w:rPr>
          <w:rFonts w:ascii="Times New Roman" w:hAnsi="Times New Roman"/>
          <w:sz w:val="26"/>
          <w:szCs w:val="26"/>
          <w:lang w:val="ru-RU"/>
        </w:rPr>
        <w:t xml:space="preserve">а исключением </w:t>
      </w:r>
      <w:r w:rsidRPr="000B6CD4">
        <w:rPr>
          <w:rFonts w:ascii="Times New Roman" w:eastAsia="Times New Roman" w:hAnsi="Times New Roman"/>
          <w:sz w:val="26"/>
          <w:szCs w:val="26"/>
          <w:lang w:val="ru-RU"/>
        </w:rPr>
        <w:t>договоров рефинансирования/реструктурирования кредитов</w:t>
      </w:r>
      <w:r w:rsidR="00C0107A" w:rsidRPr="009B7DA7">
        <w:rPr>
          <w:rFonts w:ascii="Times New Roman" w:eastAsia="Times New Roman" w:hAnsi="Times New Roman"/>
          <w:sz w:val="26"/>
          <w:szCs w:val="26"/>
          <w:lang w:val="ru-RU"/>
        </w:rPr>
        <w:t>, а также кредитов, получаемых с пониженной процентной ставкой и/или с увеличением срока возврата относительно действующего</w:t>
      </w:r>
      <w:r w:rsidRPr="00EA37F6">
        <w:rPr>
          <w:rFonts w:ascii="Times New Roman" w:eastAsia="Times New Roman" w:hAnsi="Times New Roman"/>
          <w:sz w:val="26"/>
          <w:szCs w:val="26"/>
          <w:lang w:val="ru-RU"/>
        </w:rPr>
        <w:t>).</w:t>
      </w:r>
    </w:p>
    <w:p w14:paraId="4C9FD089" w14:textId="60821BB1" w:rsidR="006B6C63" w:rsidRPr="00CF0900" w:rsidRDefault="006B6C63"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7E73B9">
        <w:rPr>
          <w:sz w:val="26"/>
          <w:szCs w:val="26"/>
        </w:rPr>
        <w:t>3</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BA782B" w:rsidRPr="00CF0900">
        <w:rPr>
          <w:sz w:val="26"/>
          <w:szCs w:val="26"/>
        </w:rPr>
        <w:t>)</w:t>
      </w:r>
      <w:r w:rsidRPr="00CF0900">
        <w:rPr>
          <w:sz w:val="26"/>
          <w:szCs w:val="26"/>
        </w:rPr>
        <w:t>;</w:t>
      </w:r>
    </w:p>
    <w:p w14:paraId="2A0FF788" w14:textId="7A6D349B"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7E73B9">
        <w:rPr>
          <w:sz w:val="26"/>
          <w:szCs w:val="26"/>
        </w:rPr>
        <w:t>4</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77EEA154"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7E73B9">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F52CC3">
        <w:rPr>
          <w:rStyle w:val="af2"/>
          <w:sz w:val="26"/>
          <w:szCs w:val="26"/>
        </w:rPr>
        <w:footnoteReference w:id="5"/>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4099C69"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7E73B9">
        <w:rPr>
          <w:sz w:val="26"/>
          <w:szCs w:val="26"/>
        </w:rPr>
        <w:t>6</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838E322"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7E73B9">
        <w:rPr>
          <w:sz w:val="26"/>
          <w:szCs w:val="26"/>
        </w:rPr>
        <w:t>7</w:t>
      </w:r>
      <w:r w:rsidRPr="00A51711">
        <w:rPr>
          <w:sz w:val="26"/>
          <w:szCs w:val="26"/>
        </w:rPr>
        <w:t>.  являющимся участниками соглашений о разделе продукции;</w:t>
      </w:r>
    </w:p>
    <w:p w14:paraId="0EB0C949" w14:textId="2ABA9737"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7E73B9">
        <w:rPr>
          <w:rFonts w:ascii="Times New Roman" w:hAnsi="Times New Roman"/>
          <w:sz w:val="26"/>
          <w:szCs w:val="26"/>
          <w:lang w:val="ru-RU"/>
        </w:rPr>
        <w:t>8</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347E901"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7E73B9">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7751FF23"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7E73B9">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1FB5D4CF"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7E73B9">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1DB1BCAD"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7E73B9">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5B4A4A4F" w14:textId="46A00A85" w:rsidR="006B6C63" w:rsidRPr="00701AF1"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7E73B9">
        <w:rPr>
          <w:rFonts w:ascii="Times New Roman" w:hAnsi="Times New Roman" w:cs="Times New Roman"/>
          <w:sz w:val="26"/>
          <w:szCs w:val="26"/>
        </w:rPr>
        <w:t>3</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701AF1" w:rsidRPr="00E03DE0">
        <w:rPr>
          <w:rFonts w:ascii="Times New Roman" w:hAnsi="Times New Roman" w:cs="Times New Roman"/>
          <w:sz w:val="26"/>
          <w:szCs w:val="26"/>
        </w:rPr>
        <w:t>.</w:t>
      </w:r>
    </w:p>
    <w:p w14:paraId="5D8517E2" w14:textId="1F8F53E0"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(кроме самозанятых)</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 xml:space="preserve">а </w:t>
      </w:r>
      <w:r w:rsidR="00315D58">
        <w:rPr>
          <w:rFonts w:ascii="Times New Roman" w:hAnsi="Times New Roman"/>
          <w:sz w:val="26"/>
          <w:szCs w:val="26"/>
          <w:lang w:val="ru-RU"/>
        </w:rPr>
        <w:t xml:space="preserve">на группу лиц не может превышать </w:t>
      </w:r>
      <w:r w:rsidR="00161206">
        <w:rPr>
          <w:rFonts w:ascii="Times New Roman" w:hAnsi="Times New Roman"/>
          <w:sz w:val="26"/>
          <w:szCs w:val="26"/>
          <w:lang w:val="ru-RU"/>
        </w:rPr>
        <w:t>4</w:t>
      </w:r>
      <w:r w:rsidR="00315D58">
        <w:rPr>
          <w:rFonts w:ascii="Times New Roman" w:hAnsi="Times New Roman"/>
          <w:sz w:val="26"/>
          <w:szCs w:val="26"/>
          <w:lang w:val="ru-RU"/>
        </w:rPr>
        <w:t>0 000 000 (</w:t>
      </w:r>
      <w:r w:rsidR="00161206">
        <w:rPr>
          <w:rFonts w:ascii="Times New Roman" w:hAnsi="Times New Roman"/>
          <w:sz w:val="26"/>
          <w:szCs w:val="26"/>
          <w:lang w:val="ru-RU"/>
        </w:rPr>
        <w:t>Сорок</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45CFD690" w14:textId="616CD321" w:rsidR="00377AC5" w:rsidRPr="007C71F9" w:rsidRDefault="00EE34A0" w:rsidP="006257AC">
      <w:pPr>
        <w:pStyle w:val="af8"/>
        <w:ind w:left="0"/>
        <w:jc w:val="both"/>
        <w:rPr>
          <w:i/>
          <w:sz w:val="26"/>
          <w:szCs w:val="26"/>
          <w:lang w:val="ru-RU"/>
        </w:rPr>
      </w:pPr>
      <w:r>
        <w:rPr>
          <w:rFonts w:ascii="Times New Roman" w:hAnsi="Times New Roman"/>
          <w:sz w:val="26"/>
          <w:szCs w:val="26"/>
          <w:lang w:val="ru-RU"/>
        </w:rPr>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r w:rsidR="006B6C63" w:rsidRPr="00A51711">
        <w:rPr>
          <w:rFonts w:ascii="Times New Roman" w:hAnsi="Times New Roman"/>
          <w:sz w:val="26"/>
          <w:szCs w:val="26"/>
          <w:lang w:val="ru-RU"/>
        </w:rPr>
        <w:t xml:space="preserve">      </w:t>
      </w:r>
    </w:p>
    <w:p w14:paraId="516733CB" w14:textId="5BE7D18E"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xml:space="preserve">, а на группу лиц не может превышать </w:t>
      </w:r>
      <w:r w:rsidR="00161206">
        <w:rPr>
          <w:sz w:val="26"/>
          <w:szCs w:val="26"/>
        </w:rPr>
        <w:t>4</w:t>
      </w:r>
      <w:r w:rsidR="0062209D">
        <w:rPr>
          <w:sz w:val="26"/>
          <w:szCs w:val="26"/>
        </w:rPr>
        <w:t>0 000 000 (</w:t>
      </w:r>
      <w:r w:rsidR="00161206">
        <w:rPr>
          <w:sz w:val="26"/>
          <w:szCs w:val="26"/>
        </w:rPr>
        <w:t>Сорок</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51A93F28"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7"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7"/>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8"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8"/>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777777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70D81C12" w14:textId="77777777" w:rsidR="00283CB1" w:rsidRPr="00CF0900"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6.3pt" o:ole="" fillcolor="window">
            <v:imagedata r:id="rId8" o:title=""/>
          </v:shape>
          <o:OLEObject Type="Embed" ProgID="Equation.3" ShapeID="_x0000_i1025" DrawAspect="Content" ObjectID="_1722674623"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513CE0E2" w14:textId="1ACCF267" w:rsidR="007468E4"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Pr="00A51711">
        <w:rPr>
          <w:sz w:val="26"/>
          <w:szCs w:val="26"/>
        </w:rPr>
        <w:t>в рамках совместных продуктов Фонда и Корпорации</w:t>
      </w:r>
      <w:r>
        <w:rPr>
          <w:sz w:val="26"/>
          <w:szCs w:val="26"/>
        </w:rPr>
        <w:t xml:space="preserve">, при </w:t>
      </w:r>
      <w:proofErr w:type="spellStart"/>
      <w:r>
        <w:rPr>
          <w:sz w:val="26"/>
          <w:szCs w:val="26"/>
        </w:rPr>
        <w:t>Согарантии</w:t>
      </w:r>
      <w:proofErr w:type="spellEnd"/>
      <w:r w:rsidR="00CF4376">
        <w:rPr>
          <w:sz w:val="26"/>
          <w:szCs w:val="26"/>
        </w:rPr>
        <w:t>, а так же при предоставлении поручительства Фонда по обязательствам Заемщиков перед</w:t>
      </w:r>
      <w:r w:rsidR="008C2AAB">
        <w:rPr>
          <w:sz w:val="26"/>
          <w:szCs w:val="26"/>
        </w:rPr>
        <w:t xml:space="preserve"> </w:t>
      </w:r>
      <w:r w:rsidR="008C2AAB" w:rsidRPr="00EB4DCB">
        <w:rPr>
          <w:sz w:val="26"/>
          <w:szCs w:val="26"/>
        </w:rPr>
        <w:t>некоммерческ</w:t>
      </w:r>
      <w:r w:rsidR="008C2AAB">
        <w:rPr>
          <w:sz w:val="26"/>
          <w:szCs w:val="26"/>
        </w:rPr>
        <w:t>ой</w:t>
      </w:r>
      <w:r w:rsidR="008C2AAB" w:rsidRPr="00EB4DCB">
        <w:rPr>
          <w:sz w:val="26"/>
          <w:szCs w:val="26"/>
        </w:rPr>
        <w:t xml:space="preserve"> организаци</w:t>
      </w:r>
      <w:r w:rsidR="008C2AAB">
        <w:rPr>
          <w:sz w:val="26"/>
          <w:szCs w:val="26"/>
        </w:rPr>
        <w:t>ей</w:t>
      </w:r>
      <w:r w:rsidR="008C2AAB" w:rsidRPr="00EB4DCB">
        <w:rPr>
          <w:sz w:val="26"/>
          <w:szCs w:val="26"/>
        </w:rPr>
        <w:t xml:space="preserve"> «Фонд развития моногородов»</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Pr>
          <w:sz w:val="26"/>
          <w:szCs w:val="26"/>
        </w:rPr>
        <w:t>.</w:t>
      </w:r>
    </w:p>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вознаграждения</w:t>
      </w:r>
      <w:r w:rsidRPr="0007306C">
        <w:rPr>
          <w:sz w:val="26"/>
          <w:szCs w:val="26"/>
        </w:rPr>
        <w:t>,  применяется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9" w:name="_Hlk37945246"/>
      <w:r w:rsidRPr="00AE2E82">
        <w:rPr>
          <w:sz w:val="26"/>
          <w:szCs w:val="26"/>
        </w:rPr>
        <w:t xml:space="preserve">Заемщика </w:t>
      </w:r>
      <w:bookmarkEnd w:id="9"/>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10"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0"/>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77777777"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пункта 2.8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11"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11"/>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77777777"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0,5%</w:t>
      </w:r>
      <w:r w:rsidR="00FB55FB">
        <w:rPr>
          <w:sz w:val="26"/>
          <w:szCs w:val="26"/>
        </w:rPr>
        <w:t>;</w:t>
      </w:r>
    </w:p>
    <w:p w14:paraId="1173B487" w14:textId="77777777" w:rsidR="00E03A1F"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12"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12"/>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13"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13"/>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14"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14"/>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15" w:name="_Hlk52796817"/>
      <w:r>
        <w:rPr>
          <w:sz w:val="26"/>
          <w:szCs w:val="26"/>
        </w:rPr>
        <w:t>иные меры на усмотрение Банка в целях взыскания задолженности по договору финансирования.</w:t>
      </w:r>
      <w:bookmarkEnd w:id="15"/>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77777777" w:rsidR="009F44DE" w:rsidRDefault="009F44DE" w:rsidP="006B6C63">
      <w:pPr>
        <w:ind w:firstLine="709"/>
        <w:jc w:val="both"/>
        <w:rPr>
          <w:sz w:val="26"/>
          <w:szCs w:val="26"/>
        </w:rPr>
      </w:pPr>
    </w:p>
    <w:p w14:paraId="74E2B705" w14:textId="77777777" w:rsidR="009F44DE" w:rsidRDefault="009F44DE" w:rsidP="006B6C63">
      <w:pPr>
        <w:ind w:firstLine="709"/>
        <w:jc w:val="both"/>
        <w:rPr>
          <w:sz w:val="26"/>
          <w:szCs w:val="26"/>
        </w:rPr>
      </w:pPr>
    </w:p>
    <w:p w14:paraId="3894267D" w14:textId="77777777" w:rsidR="009F44DE" w:rsidRDefault="009F44DE" w:rsidP="006B6C63">
      <w:pPr>
        <w:ind w:firstLine="709"/>
        <w:jc w:val="both"/>
        <w:rPr>
          <w:sz w:val="26"/>
          <w:szCs w:val="26"/>
        </w:rPr>
      </w:pPr>
    </w:p>
    <w:p w14:paraId="26956400" w14:textId="77777777" w:rsidR="009F44DE" w:rsidRDefault="009F44DE" w:rsidP="006B6C63">
      <w:pPr>
        <w:ind w:firstLine="709"/>
        <w:jc w:val="both"/>
        <w:rPr>
          <w:sz w:val="26"/>
          <w:szCs w:val="26"/>
        </w:rPr>
      </w:pPr>
    </w:p>
    <w:p w14:paraId="4C2A1EA1" w14:textId="77777777" w:rsidR="009F44DE" w:rsidRDefault="009F44DE" w:rsidP="006B6C63">
      <w:pPr>
        <w:ind w:firstLine="709"/>
        <w:jc w:val="both"/>
        <w:rPr>
          <w:sz w:val="26"/>
          <w:szCs w:val="26"/>
        </w:rPr>
      </w:pPr>
    </w:p>
    <w:p w14:paraId="06E5DD09" w14:textId="77777777" w:rsidR="009F44DE" w:rsidRDefault="009F44DE" w:rsidP="006B6C63">
      <w:pPr>
        <w:ind w:firstLine="709"/>
        <w:jc w:val="both"/>
        <w:rPr>
          <w:sz w:val="26"/>
          <w:szCs w:val="26"/>
        </w:rPr>
      </w:pPr>
    </w:p>
    <w:p w14:paraId="6DF6D00F" w14:textId="77777777" w:rsidR="007D2690" w:rsidRDefault="007D2690" w:rsidP="006B6C63">
      <w:pPr>
        <w:ind w:firstLine="709"/>
        <w:jc w:val="both"/>
        <w:rPr>
          <w:sz w:val="26"/>
          <w:szCs w:val="26"/>
        </w:rPr>
      </w:pPr>
    </w:p>
    <w:p w14:paraId="3C572178" w14:textId="75ABD01B" w:rsidR="00607822" w:rsidRDefault="00607822" w:rsidP="006B6C63">
      <w:pPr>
        <w:ind w:firstLine="709"/>
        <w:jc w:val="both"/>
        <w:rPr>
          <w:sz w:val="26"/>
          <w:szCs w:val="26"/>
        </w:rPr>
      </w:pPr>
    </w:p>
    <w:p w14:paraId="4F68F776" w14:textId="77777777" w:rsidR="00F2562B" w:rsidRPr="00A51711" w:rsidRDefault="00F2562B" w:rsidP="00F2562B">
      <w:pPr>
        <w:ind w:left="5103" w:right="-141"/>
        <w:jc w:val="both"/>
        <w:outlineLvl w:val="0"/>
        <w:rPr>
          <w:sz w:val="26"/>
          <w:szCs w:val="26"/>
        </w:rPr>
      </w:pPr>
      <w:r w:rsidRPr="00A51711">
        <w:rPr>
          <w:sz w:val="26"/>
          <w:szCs w:val="26"/>
        </w:rPr>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34119E3A"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77777777"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3661E2AF" w14:textId="77777777" w:rsidTr="008E21BD">
        <w:tc>
          <w:tcPr>
            <w:tcW w:w="4361" w:type="dxa"/>
          </w:tcPr>
          <w:p w14:paraId="7D6EF812" w14:textId="3E7859A7"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9</w:t>
            </w:r>
            <w:r w:rsidRPr="00A51711">
              <w:rPr>
                <w:rFonts w:ascii="Times New Roman" w:hAnsi="Times New Roman" w:cs="Times New Roman"/>
                <w:sz w:val="26"/>
                <w:szCs w:val="26"/>
              </w:rPr>
              <w:t>. Дополнительные виды деятельности (ОКВЭД) при наличии (указывается не менее трех видов)</w:t>
            </w:r>
          </w:p>
        </w:tc>
        <w:tc>
          <w:tcPr>
            <w:tcW w:w="5528" w:type="dxa"/>
          </w:tcPr>
          <w:p w14:paraId="252FD096"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2A143B5A"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F724AD">
              <w:rPr>
                <w:rFonts w:ascii="Times New Roman" w:hAnsi="Times New Roman" w:cs="Times New Roman"/>
                <w:sz w:val="26"/>
                <w:szCs w:val="26"/>
              </w:rPr>
              <w:t>10</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6535C3CF"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F724AD">
              <w:rPr>
                <w:rFonts w:ascii="Times New Roman" w:hAnsi="Times New Roman" w:cs="Times New Roman"/>
                <w:sz w:val="26"/>
                <w:szCs w:val="26"/>
              </w:rPr>
              <w:t>1</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5AA5CD6A"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F724AD">
              <w:rPr>
                <w:rFonts w:ascii="Times New Roman" w:hAnsi="Times New Roman" w:cs="Times New Roman"/>
                <w:sz w:val="26"/>
                <w:szCs w:val="26"/>
              </w:rPr>
              <w:t>2</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5C646F5"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3</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429CEA9D"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4</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5F3FF41" w14:textId="77777777" w:rsidTr="008E21BD">
        <w:tc>
          <w:tcPr>
            <w:tcW w:w="4361" w:type="dxa"/>
          </w:tcPr>
          <w:p w14:paraId="5BD0DE8E" w14:textId="18E15910"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5</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14:paraId="76F6D27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22CEEEB1" w14:textId="77777777" w:rsidTr="008E21BD">
        <w:tc>
          <w:tcPr>
            <w:tcW w:w="4361" w:type="dxa"/>
          </w:tcPr>
          <w:p w14:paraId="2C946876" w14:textId="18226DFE"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6</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14:paraId="5478367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8409278" w14:textId="77777777" w:rsidTr="008E21BD">
        <w:tc>
          <w:tcPr>
            <w:tcW w:w="4361" w:type="dxa"/>
          </w:tcPr>
          <w:p w14:paraId="77A7C640" w14:textId="7BE25F12"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7</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14:paraId="7A6D902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36661F6A"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8</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73E59AB" w14:textId="77777777" w:rsidTr="008E21BD">
        <w:tc>
          <w:tcPr>
            <w:tcW w:w="4361" w:type="dxa"/>
          </w:tcPr>
          <w:p w14:paraId="3A3EE3B7" w14:textId="06CFF250" w:rsidR="006B6C63" w:rsidRPr="00A51711" w:rsidRDefault="006B6C63">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9</w:t>
            </w:r>
            <w:r w:rsidRPr="00A51711">
              <w:rPr>
                <w:rFonts w:ascii="Times New Roman" w:hAnsi="Times New Roman" w:cs="Times New Roman"/>
                <w:sz w:val="26"/>
                <w:szCs w:val="26"/>
              </w:rPr>
              <w:t xml:space="preserve">. Сведения о </w:t>
            </w:r>
            <w:r w:rsidR="00161206">
              <w:rPr>
                <w:rFonts w:ascii="Times New Roman" w:hAnsi="Times New Roman" w:cs="Times New Roman"/>
                <w:sz w:val="26"/>
                <w:szCs w:val="26"/>
              </w:rPr>
              <w:t>действующих</w:t>
            </w:r>
            <w:r w:rsidRPr="00A51711">
              <w:rPr>
                <w:rFonts w:ascii="Times New Roman" w:hAnsi="Times New Roman" w:cs="Times New Roman"/>
                <w:sz w:val="26"/>
                <w:szCs w:val="26"/>
              </w:rPr>
              <w:t xml:space="preserve"> кредитах</w:t>
            </w:r>
            <w:r w:rsidR="00A00FBD">
              <w:rPr>
                <w:rFonts w:ascii="Times New Roman" w:hAnsi="Times New Roman" w:cs="Times New Roman"/>
                <w:sz w:val="26"/>
                <w:szCs w:val="26"/>
              </w:rPr>
              <w:t xml:space="preserve"> </w:t>
            </w:r>
            <w:r w:rsidRPr="00A51711">
              <w:rPr>
                <w:rFonts w:ascii="Times New Roman" w:hAnsi="Times New Roman" w:cs="Times New Roman"/>
                <w:sz w:val="26"/>
                <w:szCs w:val="26"/>
              </w:rPr>
              <w:t>(с указанием финансовой организации, выдавшей кредит, суммы кредита, периода и условий погашения)</w:t>
            </w:r>
          </w:p>
        </w:tc>
        <w:tc>
          <w:tcPr>
            <w:tcW w:w="5528" w:type="dxa"/>
          </w:tcPr>
          <w:p w14:paraId="19B2B10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49A5C400" w14:textId="77777777" w:rsidTr="008E21BD">
        <w:tc>
          <w:tcPr>
            <w:tcW w:w="4361" w:type="dxa"/>
          </w:tcPr>
          <w:p w14:paraId="2E02E630" w14:textId="0B33C5C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20</w:t>
            </w:r>
            <w:r w:rsidRPr="00A51711">
              <w:rPr>
                <w:rFonts w:ascii="Times New Roman" w:hAnsi="Times New Roman" w:cs="Times New Roman"/>
                <w:sz w:val="26"/>
                <w:szCs w:val="26"/>
              </w:rPr>
              <w:t>. Сведения о наличии либо отсутствии просроченных платежей по иным предоставленным средствам на возвратной основе</w:t>
            </w:r>
          </w:p>
        </w:tc>
        <w:tc>
          <w:tcPr>
            <w:tcW w:w="5528" w:type="dxa"/>
          </w:tcPr>
          <w:p w14:paraId="40459D06"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99C1343" w14:textId="77777777" w:rsidTr="008E21BD">
        <w:tc>
          <w:tcPr>
            <w:tcW w:w="4361" w:type="dxa"/>
          </w:tcPr>
          <w:p w14:paraId="775CFF26" w14:textId="5C373D21"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2</w:t>
            </w:r>
            <w:r w:rsidR="00F724AD">
              <w:rPr>
                <w:rFonts w:ascii="Times New Roman" w:hAnsi="Times New Roman" w:cs="Times New Roman"/>
                <w:sz w:val="26"/>
                <w:szCs w:val="26"/>
              </w:rPr>
              <w:t>1</w:t>
            </w:r>
            <w:r w:rsidRPr="00A51711">
              <w:rPr>
                <w:rFonts w:ascii="Times New Roman" w:hAnsi="Times New Roman" w:cs="Times New Roman"/>
                <w:sz w:val="26"/>
                <w:szCs w:val="26"/>
              </w:rPr>
              <w:t>. Срок осуществления хозяйственной деятельности на дату подачи заявки (в месяцах)</w:t>
            </w:r>
          </w:p>
        </w:tc>
        <w:tc>
          <w:tcPr>
            <w:tcW w:w="5528" w:type="dxa"/>
          </w:tcPr>
          <w:p w14:paraId="45B55C2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4E311306"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2</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4BB3A69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3</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4609FD44"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4</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0845E576"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5</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C80857A"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698DA090"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7</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F234B1A" w14:textId="77777777" w:rsidTr="00A16B0D">
        <w:tc>
          <w:tcPr>
            <w:tcW w:w="9889" w:type="dxa"/>
            <w:gridSpan w:val="2"/>
          </w:tcPr>
          <w:p w14:paraId="37464DCC"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проекте:</w:t>
            </w:r>
          </w:p>
        </w:tc>
      </w:tr>
      <w:tr w:rsidR="006B6C63" w:rsidRPr="00A51711" w14:paraId="3F2CF664" w14:textId="77777777" w:rsidTr="008E21BD">
        <w:tc>
          <w:tcPr>
            <w:tcW w:w="4361" w:type="dxa"/>
          </w:tcPr>
          <w:p w14:paraId="2804DC92"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2.1. Краткое описание проекта: цель, этапы, сроки реализации</w:t>
            </w:r>
          </w:p>
        </w:tc>
        <w:tc>
          <w:tcPr>
            <w:tcW w:w="5528" w:type="dxa"/>
          </w:tcPr>
          <w:p w14:paraId="5D8E8263"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2F955EB1" w14:textId="77777777" w:rsidTr="008E21BD">
        <w:tc>
          <w:tcPr>
            <w:tcW w:w="4361" w:type="dxa"/>
          </w:tcPr>
          <w:p w14:paraId="3AF53FC8"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Общая стоимость проекта – </w:t>
            </w:r>
            <w:r w:rsidRPr="00A51711">
              <w:rPr>
                <w:rFonts w:ascii="Times New Roman" w:hAnsi="Times New Roman" w:cs="Times New Roman"/>
                <w:i/>
                <w:sz w:val="26"/>
                <w:szCs w:val="26"/>
              </w:rPr>
              <w:t>расшифровать по статьям</w:t>
            </w:r>
          </w:p>
        </w:tc>
        <w:tc>
          <w:tcPr>
            <w:tcW w:w="5528" w:type="dxa"/>
          </w:tcPr>
          <w:p w14:paraId="6D9CB33F"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10C39900" w14:textId="77777777" w:rsidTr="00A16B0D">
        <w:tc>
          <w:tcPr>
            <w:tcW w:w="9889" w:type="dxa"/>
            <w:gridSpan w:val="2"/>
          </w:tcPr>
          <w:p w14:paraId="105E67DF"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 предоставляемом кредите/банковской гарантии:</w:t>
            </w:r>
          </w:p>
        </w:tc>
      </w:tr>
      <w:tr w:rsidR="006B6C63" w:rsidRPr="00A51711" w14:paraId="46246D04" w14:textId="77777777" w:rsidTr="008E21BD">
        <w:tc>
          <w:tcPr>
            <w:tcW w:w="4361" w:type="dxa"/>
          </w:tcPr>
          <w:p w14:paraId="3AD15750"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77777777"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Цель привлечения кредитных средств/банковской гарантии – </w:t>
            </w:r>
            <w:r w:rsidRPr="00A51711">
              <w:rPr>
                <w:rFonts w:ascii="Times New Roman" w:hAnsi="Times New Roman" w:cs="Times New Roman"/>
                <w:i/>
                <w:sz w:val="26"/>
                <w:szCs w:val="26"/>
              </w:rPr>
              <w:t>расшифровать</w:t>
            </w:r>
            <w:r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3.3.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3.4.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3.5.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37AEA53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FC5053">
              <w:rPr>
                <w:rFonts w:ascii="Times New Roman" w:hAnsi="Times New Roman" w:cs="Times New Roman"/>
                <w:sz w:val="26"/>
                <w:szCs w:val="26"/>
              </w:rPr>
              <w:t>6</w:t>
            </w:r>
            <w:r w:rsidRPr="00A51711">
              <w:rPr>
                <w:rFonts w:ascii="Times New Roman" w:hAnsi="Times New Roman" w:cs="Times New Roman"/>
                <w:sz w:val="26"/>
                <w:szCs w:val="26"/>
              </w:rPr>
              <w:t xml:space="preserve">. Ф.И.О., эксперта Банка, </w:t>
            </w:r>
            <w:proofErr w:type="gramStart"/>
            <w:r w:rsidRPr="00A51711">
              <w:rPr>
                <w:rFonts w:ascii="Times New Roman" w:hAnsi="Times New Roman" w:cs="Times New Roman"/>
                <w:sz w:val="26"/>
                <w:szCs w:val="26"/>
              </w:rPr>
              <w:t>контактный  телефон</w:t>
            </w:r>
            <w:proofErr w:type="gramEnd"/>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14:paraId="30FDDA28" w14:textId="77777777" w:rsidTr="008E21BD">
        <w:tc>
          <w:tcPr>
            <w:tcW w:w="4361" w:type="dxa"/>
          </w:tcPr>
          <w:p w14:paraId="4F30CDE7"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77777777"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77777777"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r w:rsidR="0076620B" w:rsidRPr="00A51711">
        <w:rPr>
          <w:rStyle w:val="af2"/>
          <w:sz w:val="26"/>
          <w:szCs w:val="26"/>
        </w:rPr>
        <w:footnoteReference w:id="6"/>
      </w:r>
      <w:r w:rsidRPr="00A51711">
        <w:rPr>
          <w:sz w:val="26"/>
          <w:szCs w:val="26"/>
        </w:rPr>
        <w:t>;</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77777777"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16" w:name="_Hlk108443233"/>
      <w:bookmarkStart w:id="17"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16"/>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17"/>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9CEF84A" w14:textId="77777777" w:rsidR="007E57B8" w:rsidRPr="00A51711" w:rsidRDefault="007E57B8" w:rsidP="007E57B8">
      <w:pPr>
        <w:ind w:left="5103" w:right="-141"/>
        <w:jc w:val="both"/>
        <w:outlineLvl w:val="0"/>
        <w:rPr>
          <w:sz w:val="26"/>
          <w:szCs w:val="26"/>
        </w:rPr>
      </w:pPr>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2530190A"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306534">
        <w:rPr>
          <w:rStyle w:val="af2"/>
          <w:sz w:val="26"/>
          <w:szCs w:val="26"/>
        </w:rPr>
        <w:footnoteReference w:id="7"/>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399433ED"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p>
    <w:p w14:paraId="0C894CBA" w14:textId="1DA47F35"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173D10" w:rsidRPr="006257AC">
        <w:rPr>
          <w:rStyle w:val="af2"/>
          <w:sz w:val="26"/>
          <w:szCs w:val="26"/>
        </w:rPr>
        <w:footnoteReference w:id="8"/>
      </w:r>
      <w:r w:rsidR="004229A5" w:rsidRPr="006257AC">
        <w:rPr>
          <w:sz w:val="26"/>
          <w:szCs w:val="26"/>
        </w:rPr>
        <w:t>.</w:t>
      </w:r>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7657BB9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xml:space="preserve">, а </w:t>
      </w:r>
      <w:proofErr w:type="gramStart"/>
      <w:r w:rsidR="00B867FD">
        <w:rPr>
          <w:sz w:val="26"/>
          <w:szCs w:val="26"/>
        </w:rPr>
        <w:t>так же</w:t>
      </w:r>
      <w:proofErr w:type="gramEnd"/>
      <w:r w:rsidR="00B867FD">
        <w:rPr>
          <w:sz w:val="26"/>
          <w:szCs w:val="26"/>
        </w:rPr>
        <w:t xml:space="preserve"> приказ о вступлении его в должность</w:t>
      </w:r>
      <w:r w:rsidR="007C5FD6" w:rsidRPr="00A51711">
        <w:rPr>
          <w:sz w:val="26"/>
          <w:szCs w:val="26"/>
        </w:rPr>
        <w:t>.</w:t>
      </w:r>
    </w:p>
    <w:p w14:paraId="1DC7C9DB" w14:textId="293F9DE6" w:rsidR="004C619E" w:rsidRDefault="00C404E8" w:rsidP="00A16B0D">
      <w:pPr>
        <w:ind w:firstLine="709"/>
        <w:jc w:val="both"/>
        <w:rPr>
          <w:sz w:val="26"/>
          <w:szCs w:val="26"/>
        </w:rPr>
      </w:pPr>
      <w:r>
        <w:rPr>
          <w:sz w:val="26"/>
          <w:szCs w:val="26"/>
        </w:rPr>
        <w:t>7</w:t>
      </w:r>
      <w:r w:rsidR="004C619E">
        <w:rPr>
          <w:sz w:val="26"/>
          <w:szCs w:val="26"/>
        </w:rPr>
        <w:t xml:space="preserve">. </w:t>
      </w:r>
      <w:r w:rsidR="004C619E" w:rsidRPr="004C619E">
        <w:rPr>
          <w:sz w:val="26"/>
          <w:szCs w:val="26"/>
        </w:rPr>
        <w:t xml:space="preserve">Решения органов управления и коллегиальных исполнительных органов,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426AF565" w14:textId="77777777" w:rsidR="00FC5053" w:rsidRDefault="00FC5053" w:rsidP="00A16B0D">
      <w:pPr>
        <w:ind w:firstLine="709"/>
        <w:jc w:val="both"/>
        <w:rPr>
          <w:sz w:val="26"/>
          <w:szCs w:val="26"/>
        </w:rPr>
      </w:pP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3BCEF3FC"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496B89">
        <w:rPr>
          <w:rStyle w:val="af2"/>
          <w:sz w:val="26"/>
          <w:szCs w:val="26"/>
        </w:rPr>
        <w:footnoteReference w:id="9"/>
      </w:r>
      <w:r w:rsidR="003D1EEB">
        <w:rPr>
          <w:sz w:val="26"/>
          <w:szCs w:val="26"/>
        </w:rPr>
        <w:t>/акционеров</w:t>
      </w:r>
      <w:r w:rsidR="000A66E0">
        <w:rPr>
          <w:rStyle w:val="af2"/>
          <w:sz w:val="26"/>
          <w:szCs w:val="26"/>
        </w:rPr>
        <w:footnoteReference w:id="10"/>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0C0C7780" w:rsidR="0018693E" w:rsidRPr="00A51711" w:rsidRDefault="0018693E" w:rsidP="00013865">
      <w:pPr>
        <w:jc w:val="both"/>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18"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bookmarkEnd w:id="18"/>
    <w:p w14:paraId="24C309E4" w14:textId="5551321B" w:rsidR="007C5FD6" w:rsidRPr="00A51711" w:rsidRDefault="00273D3B" w:rsidP="003C73FB">
      <w:pPr>
        <w:ind w:firstLine="709"/>
        <w:jc w:val="both"/>
        <w:rPr>
          <w:sz w:val="26"/>
          <w:szCs w:val="26"/>
        </w:rPr>
      </w:pPr>
      <w:r>
        <w:rPr>
          <w:sz w:val="26"/>
          <w:szCs w:val="26"/>
        </w:rPr>
        <w:t>1</w:t>
      </w:r>
      <w:r w:rsidR="00C404E8">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77777777" w:rsidR="007C5FD6" w:rsidRPr="003C73FB" w:rsidRDefault="007C5FD6" w:rsidP="007C5FD6">
      <w:pPr>
        <w:pStyle w:val="a3"/>
        <w:ind w:firstLine="709"/>
        <w:rPr>
          <w:sz w:val="26"/>
          <w:szCs w:val="26"/>
          <w:lang w:val="ru-RU"/>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p w14:paraId="33D9D74C" w14:textId="26FC1006" w:rsidR="00C236BA" w:rsidRPr="00A51711" w:rsidRDefault="00273D3B" w:rsidP="00C236BA">
      <w:pPr>
        <w:ind w:firstLine="709"/>
        <w:jc w:val="both"/>
        <w:rPr>
          <w:sz w:val="26"/>
          <w:szCs w:val="26"/>
        </w:rPr>
      </w:pPr>
      <w:r>
        <w:rPr>
          <w:sz w:val="26"/>
          <w:szCs w:val="26"/>
        </w:rPr>
        <w:t>1</w:t>
      </w:r>
      <w:r w:rsidR="00C404E8">
        <w:rPr>
          <w:sz w:val="26"/>
          <w:szCs w:val="26"/>
        </w:rPr>
        <w:t>5</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5D51B39B" w14:textId="226432D4" w:rsidR="000A2A41" w:rsidRDefault="000A2A41" w:rsidP="004453F7">
      <w:pPr>
        <w:ind w:firstLine="709"/>
        <w:jc w:val="both"/>
        <w:rPr>
          <w:sz w:val="26"/>
          <w:szCs w:val="26"/>
        </w:rPr>
      </w:pPr>
    </w:p>
    <w:p w14:paraId="78FEA99B" w14:textId="5CBDA128" w:rsidR="000A2A41" w:rsidRDefault="000A2A41" w:rsidP="004453F7">
      <w:pPr>
        <w:ind w:firstLine="709"/>
        <w:jc w:val="both"/>
        <w:rPr>
          <w:sz w:val="26"/>
          <w:szCs w:val="26"/>
        </w:rPr>
      </w:pPr>
    </w:p>
    <w:p w14:paraId="71DC737D" w14:textId="31477B32" w:rsidR="000A2A41" w:rsidRDefault="000A2A41" w:rsidP="004453F7">
      <w:pPr>
        <w:ind w:firstLine="709"/>
        <w:jc w:val="both"/>
        <w:rPr>
          <w:sz w:val="26"/>
          <w:szCs w:val="26"/>
        </w:rPr>
      </w:pPr>
    </w:p>
    <w:p w14:paraId="1E4DFF83" w14:textId="31500FF8" w:rsidR="000A2A41" w:rsidRDefault="000A2A41" w:rsidP="004453F7">
      <w:pPr>
        <w:ind w:firstLine="709"/>
        <w:jc w:val="both"/>
        <w:rPr>
          <w:sz w:val="26"/>
          <w:szCs w:val="26"/>
        </w:rPr>
      </w:pPr>
    </w:p>
    <w:p w14:paraId="67816C97" w14:textId="6B2FD257" w:rsidR="000A2A41" w:rsidRDefault="000A2A41" w:rsidP="004453F7">
      <w:pPr>
        <w:ind w:firstLine="709"/>
        <w:jc w:val="both"/>
        <w:rPr>
          <w:sz w:val="26"/>
          <w:szCs w:val="26"/>
        </w:rPr>
      </w:pPr>
    </w:p>
    <w:p w14:paraId="33AD5F46" w14:textId="1D2CD207" w:rsidR="000A2A41" w:rsidRDefault="000A2A41" w:rsidP="004453F7">
      <w:pPr>
        <w:ind w:firstLine="709"/>
        <w:jc w:val="both"/>
        <w:rPr>
          <w:sz w:val="26"/>
          <w:szCs w:val="26"/>
        </w:rPr>
      </w:pPr>
    </w:p>
    <w:p w14:paraId="5B8228F6" w14:textId="2B6A5E14" w:rsidR="000A2A41" w:rsidRDefault="000A2A41" w:rsidP="004453F7">
      <w:pPr>
        <w:ind w:firstLine="709"/>
        <w:jc w:val="both"/>
        <w:rPr>
          <w:sz w:val="26"/>
          <w:szCs w:val="26"/>
        </w:rPr>
      </w:pPr>
    </w:p>
    <w:p w14:paraId="2AA7F0A5" w14:textId="15C2A165" w:rsidR="000A2A41" w:rsidRDefault="000A2A41" w:rsidP="004453F7">
      <w:pPr>
        <w:ind w:firstLine="709"/>
        <w:jc w:val="both"/>
        <w:rPr>
          <w:sz w:val="26"/>
          <w:szCs w:val="26"/>
        </w:rPr>
      </w:pPr>
    </w:p>
    <w:p w14:paraId="66B65710" w14:textId="7C36E391" w:rsidR="00E61878" w:rsidRDefault="00E61878" w:rsidP="004453F7">
      <w:pPr>
        <w:ind w:firstLine="709"/>
        <w:jc w:val="both"/>
        <w:rPr>
          <w:sz w:val="26"/>
          <w:szCs w:val="26"/>
        </w:rPr>
      </w:pPr>
    </w:p>
    <w:p w14:paraId="60C51AF3" w14:textId="04A7BE10" w:rsidR="00E61878" w:rsidRDefault="00E61878" w:rsidP="004453F7">
      <w:pPr>
        <w:ind w:firstLine="709"/>
        <w:jc w:val="both"/>
        <w:rPr>
          <w:sz w:val="26"/>
          <w:szCs w:val="26"/>
        </w:rPr>
      </w:pPr>
    </w:p>
    <w:p w14:paraId="323320DD" w14:textId="6E8088D6" w:rsidR="00E61878" w:rsidRDefault="00E61878" w:rsidP="004453F7">
      <w:pPr>
        <w:ind w:firstLine="709"/>
        <w:jc w:val="both"/>
        <w:rPr>
          <w:sz w:val="26"/>
          <w:szCs w:val="26"/>
        </w:rPr>
      </w:pPr>
    </w:p>
    <w:p w14:paraId="540E6FAE" w14:textId="48DF3C74" w:rsidR="00E61878" w:rsidRDefault="00E61878" w:rsidP="004453F7">
      <w:pPr>
        <w:ind w:firstLine="709"/>
        <w:jc w:val="both"/>
        <w:rPr>
          <w:sz w:val="26"/>
          <w:szCs w:val="26"/>
        </w:rPr>
      </w:pPr>
    </w:p>
    <w:p w14:paraId="371F0A9A" w14:textId="3CE69554" w:rsidR="00E61878" w:rsidRDefault="00E61878" w:rsidP="004453F7">
      <w:pPr>
        <w:ind w:firstLine="709"/>
        <w:jc w:val="both"/>
        <w:rPr>
          <w:sz w:val="26"/>
          <w:szCs w:val="26"/>
        </w:rPr>
      </w:pPr>
    </w:p>
    <w:p w14:paraId="74FB9A1E" w14:textId="73547299" w:rsidR="00E61878" w:rsidRDefault="00E61878" w:rsidP="004453F7">
      <w:pPr>
        <w:ind w:firstLine="709"/>
        <w:jc w:val="both"/>
        <w:rPr>
          <w:sz w:val="26"/>
          <w:szCs w:val="26"/>
        </w:rPr>
      </w:pPr>
    </w:p>
    <w:p w14:paraId="09BD419C" w14:textId="3C8AB20C" w:rsidR="00E61878" w:rsidRDefault="00E61878" w:rsidP="004453F7">
      <w:pPr>
        <w:ind w:firstLine="709"/>
        <w:jc w:val="both"/>
        <w:rPr>
          <w:sz w:val="26"/>
          <w:szCs w:val="26"/>
        </w:rPr>
      </w:pPr>
    </w:p>
    <w:p w14:paraId="2FDD4EED" w14:textId="5829A866" w:rsidR="00E61878" w:rsidRDefault="00E61878" w:rsidP="004453F7">
      <w:pPr>
        <w:ind w:firstLine="709"/>
        <w:jc w:val="both"/>
        <w:rPr>
          <w:sz w:val="26"/>
          <w:szCs w:val="26"/>
        </w:rPr>
      </w:pPr>
    </w:p>
    <w:p w14:paraId="512E23C6" w14:textId="721F5125" w:rsidR="00E61878" w:rsidRDefault="00E61878" w:rsidP="004453F7">
      <w:pPr>
        <w:ind w:firstLine="709"/>
        <w:jc w:val="both"/>
        <w:rPr>
          <w:sz w:val="26"/>
          <w:szCs w:val="26"/>
        </w:rPr>
      </w:pPr>
    </w:p>
    <w:p w14:paraId="36790010" w14:textId="5B0436F5" w:rsidR="00E61878" w:rsidRDefault="00E61878" w:rsidP="004453F7">
      <w:pPr>
        <w:ind w:firstLine="709"/>
        <w:jc w:val="both"/>
        <w:rPr>
          <w:sz w:val="26"/>
          <w:szCs w:val="26"/>
        </w:rPr>
      </w:pPr>
    </w:p>
    <w:p w14:paraId="4BBD4A57" w14:textId="77777777" w:rsidR="00E61878" w:rsidRDefault="00E61878" w:rsidP="004453F7">
      <w:pPr>
        <w:ind w:firstLine="709"/>
        <w:jc w:val="both"/>
        <w:rPr>
          <w:sz w:val="26"/>
          <w:szCs w:val="26"/>
        </w:rPr>
      </w:pPr>
    </w:p>
    <w:p w14:paraId="1421F32E" w14:textId="1D3B86F9" w:rsidR="000A2A41" w:rsidRDefault="000A2A41" w:rsidP="004453F7">
      <w:pPr>
        <w:ind w:firstLine="709"/>
        <w:jc w:val="both"/>
        <w:rPr>
          <w:sz w:val="26"/>
          <w:szCs w:val="26"/>
        </w:rPr>
      </w:pPr>
    </w:p>
    <w:p w14:paraId="0FB5CF28" w14:textId="4CD8FD0F" w:rsidR="006740E4" w:rsidRDefault="006740E4" w:rsidP="004453F7">
      <w:pPr>
        <w:ind w:firstLine="709"/>
        <w:jc w:val="both"/>
        <w:rPr>
          <w:sz w:val="26"/>
          <w:szCs w:val="26"/>
        </w:rPr>
      </w:pPr>
    </w:p>
    <w:p w14:paraId="23A8B6EE" w14:textId="6A129C9C"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за исполнение Заемщиком обязательств перед Кредитной организацией по кредитному договору (в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11"/>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1D7EFC3A" w14:textId="77777777" w:rsidR="00C62C68" w:rsidRPr="00403E97"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77777777"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2AE1AA3B"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5513E2">
        <w:rPr>
          <w:rStyle w:val="af2"/>
          <w:sz w:val="28"/>
          <w:szCs w:val="28"/>
        </w:rPr>
        <w:footnoteReference w:customMarkFollows="1" w:id="12"/>
        <w:t>2</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77777777"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49F6EC51" w14:textId="77777777" w:rsidR="00D6454C" w:rsidRPr="00A51711" w:rsidRDefault="00D6454C" w:rsidP="00D6454C">
      <w:pPr>
        <w:ind w:left="5103" w:right="-141"/>
        <w:jc w:val="both"/>
        <w:outlineLvl w:val="0"/>
        <w:rPr>
          <w:sz w:val="26"/>
          <w:szCs w:val="26"/>
        </w:rPr>
      </w:pPr>
      <w:r w:rsidRPr="00A51711">
        <w:rPr>
          <w:sz w:val="26"/>
          <w:szCs w:val="26"/>
        </w:rPr>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7777777" w:rsidR="00213950" w:rsidRPr="00260D4A"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122BE569" w14:textId="77777777" w:rsidR="00213950" w:rsidRPr="003B52A7" w:rsidRDefault="00213950" w:rsidP="00213950">
      <w:pPr>
        <w:pStyle w:val="af8"/>
        <w:numPr>
          <w:ilvl w:val="1"/>
          <w:numId w:val="18"/>
        </w:numPr>
        <w:spacing w:line="240" w:lineRule="auto"/>
        <w:ind w:left="0" w:firstLine="709"/>
        <w:jc w:val="both"/>
        <w:rPr>
          <w:rFonts w:ascii="Times New Roman" w:hAnsi="Times New Roman"/>
          <w:sz w:val="28"/>
          <w:szCs w:val="28"/>
          <w:lang w:val="ru-RU"/>
        </w:rPr>
      </w:pPr>
      <w:r w:rsidRPr="003B52A7">
        <w:rPr>
          <w:rFonts w:ascii="Times New Roman" w:hAnsi="Times New Roman"/>
          <w:sz w:val="28"/>
          <w:szCs w:val="28"/>
          <w:lang w:val="ru-RU"/>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06717441" w14:textId="77777777" w:rsidR="00213950" w:rsidRPr="00260D4A" w:rsidRDefault="00213950" w:rsidP="005C0084">
      <w:pPr>
        <w:tabs>
          <w:tab w:val="left" w:pos="851"/>
          <w:tab w:val="left" w:pos="993"/>
        </w:tabs>
        <w:suppressAutoHyphens/>
        <w:ind w:firstLine="709"/>
        <w:jc w:val="both"/>
        <w:rPr>
          <w:sz w:val="28"/>
          <w:szCs w:val="28"/>
        </w:rPr>
      </w:pPr>
      <w:r w:rsidRPr="00260D4A">
        <w:rPr>
          <w:sz w:val="28"/>
          <w:szCs w:val="28"/>
        </w:rPr>
        <w:t xml:space="preserve"> </w:t>
      </w:r>
      <w:r w:rsidR="00EE6F00">
        <w:rPr>
          <w:sz w:val="28"/>
          <w:szCs w:val="28"/>
        </w:rPr>
        <w:t xml:space="preserve"> </w:t>
      </w:r>
    </w:p>
    <w:p w14:paraId="26DA6C54" w14:textId="77777777" w:rsidR="00213950" w:rsidRPr="00260D4A" w:rsidRDefault="00213950" w:rsidP="00213950">
      <w:pPr>
        <w:pStyle w:val="af8"/>
        <w:numPr>
          <w:ilvl w:val="0"/>
          <w:numId w:val="18"/>
        </w:numPr>
        <w:spacing w:line="240" w:lineRule="auto"/>
        <w:jc w:val="center"/>
        <w:outlineLvl w:val="0"/>
        <w:rPr>
          <w:rFonts w:ascii="Times New Roman" w:hAnsi="Times New Roman"/>
          <w:b/>
          <w:sz w:val="28"/>
          <w:szCs w:val="28"/>
        </w:rPr>
      </w:pPr>
      <w:r w:rsidRPr="00260D4A">
        <w:rPr>
          <w:rFonts w:ascii="Times New Roman" w:hAnsi="Times New Roman"/>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23B5C6E1" w:rsidR="00213950" w:rsidRPr="00260D4A" w:rsidRDefault="00213950" w:rsidP="00213950">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C21D19">
        <w:rPr>
          <w:rStyle w:val="af2"/>
          <w:sz w:val="28"/>
          <w:szCs w:val="28"/>
        </w:rPr>
        <w:footnoteReference w:customMarkFollows="1" w:id="13"/>
        <w:t>1</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77777777"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7777777" w:rsidR="00891C3B" w:rsidRDefault="00891C3B"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77777777"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2501A" w:rsidRPr="003B5616">
              <w:rPr>
                <w:sz w:val="20"/>
                <w:szCs w:val="20"/>
              </w:rPr>
              <w:t>5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77777777" w:rsidR="00010834" w:rsidRPr="00194375" w:rsidRDefault="0042501A" w:rsidP="00010834">
            <w:pPr>
              <w:jc w:val="center"/>
              <w:outlineLvl w:val="0"/>
              <w:rPr>
                <w:sz w:val="20"/>
                <w:szCs w:val="20"/>
              </w:rPr>
            </w:pPr>
            <w:r w:rsidRPr="00194375">
              <w:rPr>
                <w:sz w:val="20"/>
                <w:szCs w:val="20"/>
              </w:rPr>
              <w:t>15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6257AC">
      <w:headerReference w:type="even" r:id="rId10"/>
      <w:headerReference w:type="default" r:id="rId11"/>
      <w:footnotePr>
        <w:numRestart w:val="eachPage"/>
      </w:footnotePr>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08F8" w14:textId="77777777" w:rsidR="002C28D8" w:rsidRDefault="002C28D8">
      <w:r>
        <w:separator/>
      </w:r>
    </w:p>
  </w:endnote>
  <w:endnote w:type="continuationSeparator" w:id="0">
    <w:p w14:paraId="29B7F441" w14:textId="77777777" w:rsidR="002C28D8" w:rsidRDefault="002C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F534" w14:textId="77777777" w:rsidR="002C28D8" w:rsidRDefault="002C28D8">
      <w:r>
        <w:separator/>
      </w:r>
    </w:p>
  </w:footnote>
  <w:footnote w:type="continuationSeparator" w:id="0">
    <w:p w14:paraId="0844630C" w14:textId="77777777" w:rsidR="002C28D8" w:rsidRDefault="002C28D8">
      <w:r>
        <w:continuationSeparator/>
      </w:r>
    </w:p>
  </w:footnote>
  <w:footnote w:id="1">
    <w:p w14:paraId="2CBE74C5" w14:textId="77777777" w:rsidR="002C28D8" w:rsidRDefault="002C28D8" w:rsidP="006D0C9D">
      <w:pPr>
        <w:pStyle w:val="af0"/>
      </w:pPr>
      <w:r>
        <w:rPr>
          <w:rStyle w:val="af2"/>
        </w:rPr>
        <w:footnoteRef/>
      </w:r>
      <w:r>
        <w:t xml:space="preserve"> </w:t>
      </w:r>
      <w:r w:rsidRPr="006D0C9D">
        <w:t xml:space="preserve">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w:t>
      </w:r>
      <w:r>
        <w:t>Федеральный закон от 27.11.2018 N 422-ФЗ "О проведении эксперимента по установлению специального налогового режима "Налог на профессиональный доход"</w:t>
      </w:r>
      <w:r w:rsidRPr="006D0C9D">
        <w:t>.</w:t>
      </w:r>
    </w:p>
  </w:footnote>
  <w:footnote w:id="2">
    <w:p w14:paraId="219276BF" w14:textId="1B8475AA" w:rsidR="002C28D8" w:rsidRDefault="002C28D8" w:rsidP="003C73FB">
      <w:pPr>
        <w:pStyle w:val="af0"/>
        <w:jc w:val="both"/>
        <w:rPr>
          <w:i/>
        </w:rPr>
      </w:pPr>
      <w:r>
        <w:rPr>
          <w:rStyle w:val="af2"/>
          <w:i/>
        </w:rPr>
        <w:footnoteRef/>
      </w:r>
      <w:r>
        <w:rPr>
          <w:i/>
        </w:rPr>
        <w:t xml:space="preserve"> 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w:t>
      </w:r>
      <w:proofErr w:type="gramStart"/>
      <w:r>
        <w:rPr>
          <w:i/>
        </w:rPr>
        <w:t>займом</w:t>
      </w:r>
      <w:r w:rsidRPr="003C73FB">
        <w:rPr>
          <w:i/>
        </w:rPr>
        <w:t xml:space="preserve">, </w:t>
      </w:r>
      <w:r>
        <w:rPr>
          <w:i/>
        </w:rPr>
        <w:t xml:space="preserve"> </w:t>
      </w:r>
      <w:r w:rsidRPr="003C73FB">
        <w:rPr>
          <w:i/>
        </w:rPr>
        <w:t>превышающие</w:t>
      </w:r>
      <w:proofErr w:type="gramEnd"/>
      <w:r w:rsidRPr="003C73FB">
        <w:rPr>
          <w:i/>
        </w:rPr>
        <w:t xml:space="preserve">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r>
        <w:rPr>
          <w:i/>
        </w:rPr>
        <w:t>.</w:t>
      </w:r>
    </w:p>
  </w:footnote>
  <w:footnote w:id="3">
    <w:p w14:paraId="719C5ED9" w14:textId="47C9AFAC" w:rsidR="002C28D8" w:rsidRPr="00FD17D7" w:rsidRDefault="002C28D8" w:rsidP="00FD17D7">
      <w:pPr>
        <w:pStyle w:val="af0"/>
        <w:jc w:val="both"/>
        <w:rPr>
          <w:i/>
        </w:rPr>
      </w:pPr>
      <w:r>
        <w:rPr>
          <w:rStyle w:val="af2"/>
        </w:rPr>
        <w:t>2</w:t>
      </w:r>
      <w:r>
        <w:t xml:space="preserve"> </w:t>
      </w:r>
      <w:r>
        <w:rPr>
          <w:i/>
        </w:rPr>
        <w:t>Данный критерий не применяется при предоставлении поручительства Фондом СМСП, осуществляющим деятельность на территории, в отношении которой введен режим повышенной готовности или режим чрезвычайной ситуации.</w:t>
      </w:r>
    </w:p>
  </w:footnote>
  <w:footnote w:id="4">
    <w:p w14:paraId="41012A32" w14:textId="70587A86" w:rsidR="002C28D8" w:rsidRDefault="002C28D8">
      <w:pPr>
        <w:pStyle w:val="af0"/>
      </w:pPr>
      <w:r>
        <w:rPr>
          <w:rStyle w:val="af2"/>
        </w:rPr>
        <w:t>3</w:t>
      </w:r>
      <w:r>
        <w:t xml:space="preserve"> </w:t>
      </w:r>
      <w:r>
        <w:rPr>
          <w:i/>
        </w:rPr>
        <w:t>Данный критерий не применяется при предоставлении поручительства Фондом СМСП, осуществляющим деятельность на территории, в отношении которой введен режим повышенной готовности или режим чрезвычайной ситуации</w:t>
      </w:r>
    </w:p>
  </w:footnote>
  <w:footnote w:id="5">
    <w:p w14:paraId="18B012BF" w14:textId="22DE5572" w:rsidR="002C28D8" w:rsidRDefault="002C28D8" w:rsidP="00F52CC3">
      <w:pPr>
        <w:pStyle w:val="af0"/>
      </w:pPr>
      <w:r>
        <w:rPr>
          <w:rStyle w:val="af2"/>
        </w:rPr>
        <w:footnoteRef/>
      </w:r>
      <w:r>
        <w:t xml:space="preserve"> 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14:paraId="760A1A5C" w14:textId="77777777" w:rsidR="002C28D8" w:rsidRPr="003B2BD9" w:rsidRDefault="002C28D8" w:rsidP="0076620B">
      <w:pPr>
        <w:pStyle w:val="af0"/>
        <w:rPr>
          <w:i/>
        </w:rPr>
      </w:pPr>
      <w:r>
        <w:rPr>
          <w:rStyle w:val="af2"/>
        </w:rPr>
        <w:footnoteRef/>
      </w:r>
      <w:r>
        <w:t xml:space="preserve"> </w:t>
      </w:r>
      <w:r w:rsidRPr="003B2BD9">
        <w:rPr>
          <w:i/>
        </w:rPr>
        <w:t xml:space="preserve">Допускается </w:t>
      </w:r>
      <w:r>
        <w:rPr>
          <w:i/>
        </w:rPr>
        <w:t>техническая разовая просрочка, возникшая по объективным причинам не по вине Заемщика, сроком не более 1</w:t>
      </w:r>
      <w:r w:rsidRPr="00332F04">
        <w:rPr>
          <w:i/>
          <w:color w:val="000000"/>
        </w:rPr>
        <w:t xml:space="preserve">0 </w:t>
      </w:r>
      <w:r w:rsidRPr="003B2BD9">
        <w:rPr>
          <w:i/>
        </w:rPr>
        <w:t>дней.</w:t>
      </w:r>
    </w:p>
    <w:p w14:paraId="7CA2413E" w14:textId="77777777" w:rsidR="002C28D8" w:rsidRDefault="002C28D8">
      <w:pPr>
        <w:pStyle w:val="af0"/>
      </w:pPr>
    </w:p>
  </w:footnote>
  <w:footnote w:id="7">
    <w:p w14:paraId="3BC8F04E" w14:textId="2772E1D7" w:rsidR="002C28D8" w:rsidRDefault="002C28D8" w:rsidP="0020626F">
      <w:pPr>
        <w:pStyle w:val="af0"/>
        <w:jc w:val="both"/>
      </w:pPr>
      <w:r>
        <w:rPr>
          <w:rStyle w:val="af2"/>
        </w:rPr>
        <w:footnoteRef/>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8">
    <w:p w14:paraId="77ADD13F" w14:textId="77777777" w:rsidR="002C28D8" w:rsidRDefault="002C28D8" w:rsidP="00D87486">
      <w:pPr>
        <w:pStyle w:val="af0"/>
        <w:jc w:val="both"/>
      </w:pPr>
      <w:r>
        <w:rPr>
          <w:rStyle w:val="af2"/>
        </w:rPr>
        <w:footnoteRef/>
      </w:r>
      <w:r>
        <w:t xml:space="preserve"> </w:t>
      </w:r>
      <w:r>
        <w:rPr>
          <w:i/>
        </w:rPr>
        <w:t>Не предоставляется СМСП, осуществляющим деятельность на территории, в отношении которой введен режим повышенной готовности или режим чрезвычайной ситуации.</w:t>
      </w:r>
    </w:p>
  </w:footnote>
  <w:footnote w:id="9">
    <w:p w14:paraId="276752BD" w14:textId="7B8E1EE4" w:rsidR="002C28D8" w:rsidRDefault="002C28D8" w:rsidP="00D87486">
      <w:pPr>
        <w:pStyle w:val="af0"/>
        <w:jc w:val="both"/>
      </w:pPr>
      <w:r>
        <w:rPr>
          <w:rStyle w:val="af2"/>
        </w:rPr>
        <w:footnoteRef/>
      </w:r>
      <w:r>
        <w:t xml:space="preserve"> Участники размер доли в уставном капитале которых составляет более пяти процентов. </w:t>
      </w:r>
    </w:p>
  </w:footnote>
  <w:footnote w:id="10">
    <w:p w14:paraId="0C4EA12F" w14:textId="59DAA57B" w:rsidR="002C28D8" w:rsidRDefault="002C28D8" w:rsidP="00D87486">
      <w:pPr>
        <w:pStyle w:val="af0"/>
        <w:jc w:val="both"/>
      </w:pPr>
      <w:r>
        <w:rPr>
          <w:rStyle w:val="af2"/>
        </w:rPr>
        <w:footnoteRef/>
      </w:r>
      <w:r>
        <w:t xml:space="preserve"> 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footnote>
  <w:footnote w:id="11">
    <w:p w14:paraId="3E9CE25E" w14:textId="7D9C0D3B" w:rsidR="002C28D8" w:rsidRPr="00255E67" w:rsidRDefault="002C28D8"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2C28D8" w:rsidRPr="00255E67" w:rsidRDefault="002C28D8"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2C28D8" w:rsidRPr="00255E67" w:rsidRDefault="002C28D8"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2C28D8" w:rsidRPr="00255E67" w:rsidRDefault="002C28D8" w:rsidP="00C62C68">
      <w:pPr>
        <w:pStyle w:val="af0"/>
        <w:jc w:val="both"/>
      </w:pPr>
      <w:r w:rsidRPr="00255E67">
        <w:t xml:space="preserve">В случае предоставления поручительства Поручителя по действующим договорам об открытии </w:t>
      </w:r>
      <w:proofErr w:type="spellStart"/>
      <w:r w:rsidRPr="00255E67">
        <w:t>невозобновляемой</w:t>
      </w:r>
      <w:proofErr w:type="spellEnd"/>
      <w:r w:rsidRPr="00255E67">
        <w:t xml:space="preserve">/возобновляемой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2C28D8" w:rsidRPr="00255E67" w:rsidRDefault="002C28D8"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2C28D8" w:rsidRPr="00255E67" w:rsidRDefault="002C28D8"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2">
    <w:p w14:paraId="03E82ED3" w14:textId="464B11F7" w:rsidR="002C28D8" w:rsidRPr="002F0510" w:rsidRDefault="002C28D8" w:rsidP="00843CE0">
      <w:pPr>
        <w:pStyle w:val="a3"/>
        <w:ind w:firstLine="709"/>
        <w:rPr>
          <w:sz w:val="20"/>
          <w:lang w:val="ru-RU"/>
        </w:rPr>
      </w:pPr>
      <w:r>
        <w:rPr>
          <w:rStyle w:val="af2"/>
          <w:sz w:val="20"/>
          <w:lang w:val="ru-RU" w:eastAsia="ru-RU"/>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7D58F41E" w14:textId="77777777" w:rsidR="002C28D8" w:rsidRDefault="002C28D8" w:rsidP="00843CE0">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 w:id="13">
    <w:p w14:paraId="6CC0EC28" w14:textId="59D95530" w:rsidR="002C28D8" w:rsidRPr="002F0510" w:rsidRDefault="002C28D8" w:rsidP="00215A4C">
      <w:pPr>
        <w:pStyle w:val="a3"/>
        <w:ind w:firstLine="709"/>
        <w:rPr>
          <w:sz w:val="20"/>
          <w:lang w:val="ru-RU"/>
        </w:rPr>
      </w:pPr>
      <w:r>
        <w:rPr>
          <w:rStyle w:val="af2"/>
          <w:sz w:val="20"/>
          <w:lang w:val="ru-RU" w:eastAsia="ru-RU"/>
        </w:rPr>
        <w:t>1</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40309AF7" w14:textId="77777777" w:rsidR="002C28D8" w:rsidRDefault="002C28D8" w:rsidP="00215A4C">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2C28D8" w:rsidRDefault="002C28D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2C28D8" w:rsidRDefault="002C28D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2C28D8" w:rsidRPr="00251601" w:rsidRDefault="002C28D8">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2C28D8" w:rsidRDefault="002C28D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A79"/>
    <w:rsid w:val="0011532D"/>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3CB2"/>
    <w:rsid w:val="001B6430"/>
    <w:rsid w:val="001B7122"/>
    <w:rsid w:val="001C2EB8"/>
    <w:rsid w:val="001C45A6"/>
    <w:rsid w:val="001C5713"/>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66F3"/>
    <w:rsid w:val="00200E02"/>
    <w:rsid w:val="00201A43"/>
    <w:rsid w:val="00203B39"/>
    <w:rsid w:val="0020492D"/>
    <w:rsid w:val="0020626F"/>
    <w:rsid w:val="002102BB"/>
    <w:rsid w:val="00211DE5"/>
    <w:rsid w:val="00211E09"/>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6C77"/>
    <w:rsid w:val="002A0260"/>
    <w:rsid w:val="002A59EE"/>
    <w:rsid w:val="002A7486"/>
    <w:rsid w:val="002A78CB"/>
    <w:rsid w:val="002B3374"/>
    <w:rsid w:val="002B554E"/>
    <w:rsid w:val="002B6292"/>
    <w:rsid w:val="002C0728"/>
    <w:rsid w:val="002C08D6"/>
    <w:rsid w:val="002C24E5"/>
    <w:rsid w:val="002C28D8"/>
    <w:rsid w:val="002C313D"/>
    <w:rsid w:val="002C3601"/>
    <w:rsid w:val="002C4DF1"/>
    <w:rsid w:val="002C7192"/>
    <w:rsid w:val="002D00A6"/>
    <w:rsid w:val="002D08D0"/>
    <w:rsid w:val="002D591B"/>
    <w:rsid w:val="002D63F9"/>
    <w:rsid w:val="002D788D"/>
    <w:rsid w:val="002E038B"/>
    <w:rsid w:val="002E10E1"/>
    <w:rsid w:val="002E2B7A"/>
    <w:rsid w:val="002E2C5D"/>
    <w:rsid w:val="002F1EB4"/>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C31F6"/>
    <w:rsid w:val="004C5AF9"/>
    <w:rsid w:val="004C5E5B"/>
    <w:rsid w:val="004C619E"/>
    <w:rsid w:val="004C6B24"/>
    <w:rsid w:val="004D3440"/>
    <w:rsid w:val="004D60E4"/>
    <w:rsid w:val="004E0306"/>
    <w:rsid w:val="004E0D7C"/>
    <w:rsid w:val="004E22FC"/>
    <w:rsid w:val="004E7895"/>
    <w:rsid w:val="004F0DA1"/>
    <w:rsid w:val="004F1FAC"/>
    <w:rsid w:val="004F3684"/>
    <w:rsid w:val="004F3A12"/>
    <w:rsid w:val="004F41A2"/>
    <w:rsid w:val="004F6633"/>
    <w:rsid w:val="00500203"/>
    <w:rsid w:val="0050150F"/>
    <w:rsid w:val="00501E1D"/>
    <w:rsid w:val="00506E7E"/>
    <w:rsid w:val="0050779A"/>
    <w:rsid w:val="00507ED3"/>
    <w:rsid w:val="00510303"/>
    <w:rsid w:val="00513657"/>
    <w:rsid w:val="0051729C"/>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5A4D"/>
    <w:rsid w:val="00592E11"/>
    <w:rsid w:val="00593F60"/>
    <w:rsid w:val="005943BF"/>
    <w:rsid w:val="0059685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5D99"/>
    <w:rsid w:val="005C6E04"/>
    <w:rsid w:val="005C7C94"/>
    <w:rsid w:val="005D1DC4"/>
    <w:rsid w:val="005D1FF1"/>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30E85"/>
    <w:rsid w:val="00632DCF"/>
    <w:rsid w:val="006353C3"/>
    <w:rsid w:val="00636969"/>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2F19"/>
    <w:rsid w:val="0067348B"/>
    <w:rsid w:val="006740E4"/>
    <w:rsid w:val="00675F5A"/>
    <w:rsid w:val="00684D61"/>
    <w:rsid w:val="00690244"/>
    <w:rsid w:val="0069043E"/>
    <w:rsid w:val="00696237"/>
    <w:rsid w:val="00696F9A"/>
    <w:rsid w:val="006979B4"/>
    <w:rsid w:val="006A08B4"/>
    <w:rsid w:val="006A1AAF"/>
    <w:rsid w:val="006A1AE1"/>
    <w:rsid w:val="006A218D"/>
    <w:rsid w:val="006A637E"/>
    <w:rsid w:val="006B0E79"/>
    <w:rsid w:val="006B0F1C"/>
    <w:rsid w:val="006B53ED"/>
    <w:rsid w:val="006B6718"/>
    <w:rsid w:val="006B6C63"/>
    <w:rsid w:val="006B7439"/>
    <w:rsid w:val="006C2299"/>
    <w:rsid w:val="006C38C3"/>
    <w:rsid w:val="006C3E8D"/>
    <w:rsid w:val="006C588F"/>
    <w:rsid w:val="006C64E9"/>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6F63"/>
    <w:rsid w:val="00721DF6"/>
    <w:rsid w:val="007253DF"/>
    <w:rsid w:val="007253EF"/>
    <w:rsid w:val="00731511"/>
    <w:rsid w:val="0073256A"/>
    <w:rsid w:val="00732CC3"/>
    <w:rsid w:val="00740FB7"/>
    <w:rsid w:val="00741296"/>
    <w:rsid w:val="007458F2"/>
    <w:rsid w:val="007468E4"/>
    <w:rsid w:val="007473F4"/>
    <w:rsid w:val="007509D5"/>
    <w:rsid w:val="00754B05"/>
    <w:rsid w:val="00755CE9"/>
    <w:rsid w:val="00756551"/>
    <w:rsid w:val="00757331"/>
    <w:rsid w:val="00757B97"/>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258"/>
    <w:rsid w:val="007849A8"/>
    <w:rsid w:val="00785C6C"/>
    <w:rsid w:val="00790E59"/>
    <w:rsid w:val="0079100B"/>
    <w:rsid w:val="00793D02"/>
    <w:rsid w:val="00793F6D"/>
    <w:rsid w:val="0079756C"/>
    <w:rsid w:val="007A1093"/>
    <w:rsid w:val="007A25F4"/>
    <w:rsid w:val="007A2C6B"/>
    <w:rsid w:val="007A45E7"/>
    <w:rsid w:val="007A6487"/>
    <w:rsid w:val="007B1142"/>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44C7"/>
    <w:rsid w:val="00800ADE"/>
    <w:rsid w:val="008025D8"/>
    <w:rsid w:val="00802B44"/>
    <w:rsid w:val="00803515"/>
    <w:rsid w:val="0080399A"/>
    <w:rsid w:val="008045A6"/>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7CB1"/>
    <w:rsid w:val="00870443"/>
    <w:rsid w:val="00872154"/>
    <w:rsid w:val="00872B08"/>
    <w:rsid w:val="00873E48"/>
    <w:rsid w:val="00876E74"/>
    <w:rsid w:val="0087783C"/>
    <w:rsid w:val="00880DA8"/>
    <w:rsid w:val="00881178"/>
    <w:rsid w:val="008812C7"/>
    <w:rsid w:val="00881E0B"/>
    <w:rsid w:val="0088252F"/>
    <w:rsid w:val="00882A20"/>
    <w:rsid w:val="0088600E"/>
    <w:rsid w:val="00887C21"/>
    <w:rsid w:val="00887CF2"/>
    <w:rsid w:val="00891C3B"/>
    <w:rsid w:val="008923BA"/>
    <w:rsid w:val="00894A1A"/>
    <w:rsid w:val="0089625A"/>
    <w:rsid w:val="008964D4"/>
    <w:rsid w:val="008973BA"/>
    <w:rsid w:val="0089744F"/>
    <w:rsid w:val="008A2373"/>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7EA0"/>
    <w:rsid w:val="009317D5"/>
    <w:rsid w:val="0093250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15F8"/>
    <w:rsid w:val="009C3216"/>
    <w:rsid w:val="009C4BC9"/>
    <w:rsid w:val="009C7655"/>
    <w:rsid w:val="009D0946"/>
    <w:rsid w:val="009D10BB"/>
    <w:rsid w:val="009D3120"/>
    <w:rsid w:val="009D4D84"/>
    <w:rsid w:val="009D5695"/>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1711"/>
    <w:rsid w:val="00A52C71"/>
    <w:rsid w:val="00A5368D"/>
    <w:rsid w:val="00A53A1F"/>
    <w:rsid w:val="00A54DC1"/>
    <w:rsid w:val="00A56683"/>
    <w:rsid w:val="00A57160"/>
    <w:rsid w:val="00A575D6"/>
    <w:rsid w:val="00A604CA"/>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2B0D"/>
    <w:rsid w:val="00AF6D9B"/>
    <w:rsid w:val="00B10B32"/>
    <w:rsid w:val="00B13AB4"/>
    <w:rsid w:val="00B21D0F"/>
    <w:rsid w:val="00B223C3"/>
    <w:rsid w:val="00B231CE"/>
    <w:rsid w:val="00B24072"/>
    <w:rsid w:val="00B24A43"/>
    <w:rsid w:val="00B265F0"/>
    <w:rsid w:val="00B269C7"/>
    <w:rsid w:val="00B314A3"/>
    <w:rsid w:val="00B360D8"/>
    <w:rsid w:val="00B36B25"/>
    <w:rsid w:val="00B36B54"/>
    <w:rsid w:val="00B43802"/>
    <w:rsid w:val="00B442CA"/>
    <w:rsid w:val="00B467FE"/>
    <w:rsid w:val="00B529B4"/>
    <w:rsid w:val="00B56DB9"/>
    <w:rsid w:val="00B5779C"/>
    <w:rsid w:val="00B60388"/>
    <w:rsid w:val="00B63C18"/>
    <w:rsid w:val="00B64319"/>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4E8"/>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900"/>
    <w:rsid w:val="00CF0F62"/>
    <w:rsid w:val="00CF1AFB"/>
    <w:rsid w:val="00CF2506"/>
    <w:rsid w:val="00CF37AB"/>
    <w:rsid w:val="00CF4376"/>
    <w:rsid w:val="00CF5896"/>
    <w:rsid w:val="00CF7500"/>
    <w:rsid w:val="00D02FF2"/>
    <w:rsid w:val="00D0531A"/>
    <w:rsid w:val="00D10CD1"/>
    <w:rsid w:val="00D1174F"/>
    <w:rsid w:val="00D119A3"/>
    <w:rsid w:val="00D129E9"/>
    <w:rsid w:val="00D148CB"/>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1A26"/>
    <w:rsid w:val="00D74323"/>
    <w:rsid w:val="00D7774A"/>
    <w:rsid w:val="00D77B74"/>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4002"/>
    <w:rsid w:val="00DA49F6"/>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436E"/>
    <w:rsid w:val="00E1254B"/>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DD9"/>
    <w:rsid w:val="00F21886"/>
    <w:rsid w:val="00F23177"/>
    <w:rsid w:val="00F23A69"/>
    <w:rsid w:val="00F253D7"/>
    <w:rsid w:val="00F2562B"/>
    <w:rsid w:val="00F26E3A"/>
    <w:rsid w:val="00F27012"/>
    <w:rsid w:val="00F306DE"/>
    <w:rsid w:val="00F30839"/>
    <w:rsid w:val="00F31668"/>
    <w:rsid w:val="00F31AF8"/>
    <w:rsid w:val="00F32DCC"/>
    <w:rsid w:val="00F365F1"/>
    <w:rsid w:val="00F451E8"/>
    <w:rsid w:val="00F458B6"/>
    <w:rsid w:val="00F467F9"/>
    <w:rsid w:val="00F5141A"/>
    <w:rsid w:val="00F52CC3"/>
    <w:rsid w:val="00F63976"/>
    <w:rsid w:val="00F64B1B"/>
    <w:rsid w:val="00F65490"/>
    <w:rsid w:val="00F65685"/>
    <w:rsid w:val="00F65DCA"/>
    <w:rsid w:val="00F71CBD"/>
    <w:rsid w:val="00F724A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7C9"/>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03BE-CDDF-42D3-B8CC-1EC45527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59</Pages>
  <Words>18750</Words>
  <Characters>140726</Characters>
  <Application>Microsoft Office Word</Application>
  <DocSecurity>0</DocSecurity>
  <Lines>1172</Lines>
  <Paragraphs>318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43</cp:revision>
  <cp:lastPrinted>2022-08-18T10:58:00Z</cp:lastPrinted>
  <dcterms:created xsi:type="dcterms:W3CDTF">2021-11-02T12:10:00Z</dcterms:created>
  <dcterms:modified xsi:type="dcterms:W3CDTF">2022-08-22T06:57:00Z</dcterms:modified>
</cp:coreProperties>
</file>