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6" w:type="dxa"/>
        <w:tblBorders>
          <w:insideH w:val="single" w:sz="4" w:space="0" w:color="auto"/>
        </w:tblBorders>
        <w:tblLook w:val="04A0" w:firstRow="1" w:lastRow="0" w:firstColumn="1" w:lastColumn="0" w:noHBand="0" w:noVBand="1"/>
      </w:tblPr>
      <w:tblGrid>
        <w:gridCol w:w="4823"/>
        <w:gridCol w:w="4958"/>
      </w:tblGrid>
      <w:tr w:rsidR="006001E5" w:rsidTr="006001E5">
        <w:tc>
          <w:tcPr>
            <w:tcW w:w="4823" w:type="dxa"/>
            <w:hideMark/>
          </w:tcPr>
          <w:p w:rsidR="006001E5" w:rsidRDefault="006001E5">
            <w:pPr>
              <w:keepNext/>
              <w:keepLines/>
              <w:spacing w:before="200"/>
              <w:outlineLvl w:val="4"/>
              <w:rPr>
                <w:rFonts w:ascii="Cambria" w:hAnsi="Cambria"/>
                <w:b/>
                <w:color w:val="243F60"/>
                <w:sz w:val="20"/>
                <w:szCs w:val="20"/>
              </w:rPr>
            </w:pPr>
            <w:r>
              <w:rPr>
                <w:rFonts w:ascii="Cambria" w:hAnsi="Cambria"/>
                <w:b/>
                <w:color w:val="243F60"/>
                <w:sz w:val="20"/>
                <w:szCs w:val="20"/>
              </w:rPr>
              <w:t>СОГЛАСОВАНА</w:t>
            </w:r>
          </w:p>
          <w:p w:rsidR="006001E5" w:rsidRDefault="006001E5">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от «</w:t>
            </w:r>
            <w:r>
              <w:rPr>
                <w:sz w:val="20"/>
                <w:szCs w:val="20"/>
              </w:rPr>
              <w:t>08</w:t>
            </w:r>
            <w:r>
              <w:rPr>
                <w:sz w:val="20"/>
                <w:szCs w:val="20"/>
              </w:rPr>
              <w:t>» декабря 202</w:t>
            </w:r>
            <w:r>
              <w:rPr>
                <w:sz w:val="20"/>
                <w:szCs w:val="20"/>
              </w:rPr>
              <w:t>2</w:t>
            </w:r>
            <w:r>
              <w:rPr>
                <w:sz w:val="20"/>
                <w:szCs w:val="20"/>
              </w:rPr>
              <w:t xml:space="preserve"> года, протокол № </w:t>
            </w:r>
            <w:r>
              <w:rPr>
                <w:sz w:val="20"/>
                <w:szCs w:val="20"/>
              </w:rPr>
              <w:t>52</w:t>
            </w:r>
          </w:p>
        </w:tc>
        <w:tc>
          <w:tcPr>
            <w:tcW w:w="4958" w:type="dxa"/>
            <w:hideMark/>
          </w:tcPr>
          <w:p w:rsidR="006001E5" w:rsidRDefault="006001E5">
            <w:pPr>
              <w:keepNext/>
              <w:keepLines/>
              <w:spacing w:before="200"/>
              <w:outlineLvl w:val="4"/>
              <w:rPr>
                <w:rFonts w:ascii="Cambria" w:hAnsi="Cambria"/>
                <w:b/>
                <w:color w:val="243F60"/>
                <w:sz w:val="20"/>
                <w:szCs w:val="20"/>
              </w:rPr>
            </w:pPr>
            <w:r>
              <w:rPr>
                <w:rFonts w:ascii="Cambria" w:hAnsi="Cambria"/>
                <w:b/>
                <w:color w:val="243F60"/>
                <w:sz w:val="20"/>
                <w:szCs w:val="20"/>
              </w:rPr>
              <w:t>УТВЕРЖДЕНА</w:t>
            </w:r>
          </w:p>
          <w:p w:rsidR="006001E5" w:rsidRDefault="006001E5">
            <w:pPr>
              <w:jc w:val="both"/>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w:t>
            </w:r>
            <w:r>
              <w:rPr>
                <w:sz w:val="20"/>
                <w:szCs w:val="20"/>
              </w:rPr>
              <w:t>13</w:t>
            </w:r>
            <w:r>
              <w:rPr>
                <w:sz w:val="20"/>
                <w:szCs w:val="20"/>
              </w:rPr>
              <w:t>» декабря 202</w:t>
            </w:r>
            <w:r>
              <w:rPr>
                <w:sz w:val="20"/>
                <w:szCs w:val="20"/>
              </w:rPr>
              <w:t>2</w:t>
            </w:r>
            <w:r>
              <w:rPr>
                <w:sz w:val="20"/>
                <w:szCs w:val="20"/>
              </w:rPr>
              <w:t xml:space="preserve"> года № </w:t>
            </w:r>
            <w:r>
              <w:rPr>
                <w:sz w:val="20"/>
                <w:szCs w:val="20"/>
              </w:rPr>
              <w:t>59</w:t>
            </w:r>
          </w:p>
        </w:tc>
      </w:tr>
    </w:tbl>
    <w:p w:rsidR="006001E5" w:rsidRDefault="006001E5" w:rsidP="00874CB2">
      <w:pPr>
        <w:keepLines/>
        <w:ind w:firstLine="709"/>
        <w:jc w:val="center"/>
        <w:rPr>
          <w:b/>
          <w:sz w:val="26"/>
          <w:szCs w:val="26"/>
        </w:rPr>
      </w:pPr>
    </w:p>
    <w:p w:rsidR="003448BA" w:rsidRPr="005C6D05" w:rsidRDefault="003448BA" w:rsidP="00874CB2">
      <w:pPr>
        <w:keepLines/>
        <w:ind w:firstLine="709"/>
        <w:jc w:val="center"/>
        <w:rPr>
          <w:b/>
          <w:sz w:val="26"/>
          <w:szCs w:val="26"/>
        </w:rPr>
      </w:pPr>
    </w:p>
    <w:p w:rsidR="003C068B" w:rsidRPr="008124F3" w:rsidRDefault="003C068B" w:rsidP="00874CB2">
      <w:pPr>
        <w:keepLines/>
        <w:jc w:val="center"/>
        <w:rPr>
          <w:b/>
          <w:sz w:val="28"/>
          <w:szCs w:val="26"/>
        </w:rPr>
      </w:pPr>
      <w:r w:rsidRPr="008124F3">
        <w:rPr>
          <w:b/>
          <w:sz w:val="28"/>
          <w:szCs w:val="26"/>
        </w:rPr>
        <w:t>ПРОГРАММА ДЕЯТЕЛЬНОСТИ</w:t>
      </w:r>
    </w:p>
    <w:p w:rsidR="00914B5E" w:rsidRPr="008124F3" w:rsidRDefault="00914B5E" w:rsidP="00874CB2">
      <w:pPr>
        <w:keepLines/>
        <w:jc w:val="center"/>
        <w:rPr>
          <w:b/>
          <w:sz w:val="28"/>
          <w:szCs w:val="26"/>
        </w:rPr>
      </w:pPr>
      <w:r w:rsidRPr="008124F3">
        <w:rPr>
          <w:b/>
          <w:sz w:val="28"/>
          <w:szCs w:val="26"/>
        </w:rPr>
        <w:t xml:space="preserve">некоммерческой организацией «Гарантийный фонд для субъектов </w:t>
      </w:r>
    </w:p>
    <w:p w:rsidR="00914B5E" w:rsidRPr="008124F3" w:rsidRDefault="00914B5E" w:rsidP="00874CB2">
      <w:pPr>
        <w:keepLines/>
        <w:jc w:val="center"/>
        <w:rPr>
          <w:b/>
          <w:sz w:val="28"/>
          <w:szCs w:val="26"/>
        </w:rPr>
      </w:pPr>
      <w:r w:rsidRPr="008124F3">
        <w:rPr>
          <w:b/>
          <w:sz w:val="28"/>
          <w:szCs w:val="26"/>
        </w:rPr>
        <w:t>малого и среднего предпринимательства Оренбургской области</w:t>
      </w:r>
      <w:bookmarkStart w:id="0" w:name="_GoBack"/>
      <w:bookmarkEnd w:id="0"/>
      <w:r w:rsidRPr="008124F3">
        <w:rPr>
          <w:b/>
          <w:sz w:val="28"/>
          <w:szCs w:val="26"/>
        </w:rPr>
        <w:t>»</w:t>
      </w:r>
    </w:p>
    <w:p w:rsidR="00914B5E" w:rsidRPr="008124F3" w:rsidRDefault="003C068B" w:rsidP="00874CB2">
      <w:pPr>
        <w:keepLines/>
        <w:jc w:val="center"/>
        <w:rPr>
          <w:b/>
          <w:sz w:val="28"/>
          <w:szCs w:val="26"/>
        </w:rPr>
      </w:pPr>
      <w:r w:rsidRPr="008124F3">
        <w:rPr>
          <w:b/>
          <w:sz w:val="28"/>
          <w:szCs w:val="26"/>
        </w:rPr>
        <w:t>на 20</w:t>
      </w:r>
      <w:r w:rsidR="00B71178" w:rsidRPr="008124F3">
        <w:rPr>
          <w:b/>
          <w:sz w:val="28"/>
          <w:szCs w:val="26"/>
        </w:rPr>
        <w:t>2</w:t>
      </w:r>
      <w:r w:rsidR="00207340">
        <w:rPr>
          <w:b/>
          <w:sz w:val="28"/>
          <w:szCs w:val="26"/>
        </w:rPr>
        <w:t>3</w:t>
      </w:r>
      <w:r w:rsidRPr="008124F3">
        <w:rPr>
          <w:b/>
          <w:sz w:val="28"/>
          <w:szCs w:val="26"/>
        </w:rPr>
        <w:t xml:space="preserve"> - 20</w:t>
      </w:r>
      <w:r w:rsidR="00B71178" w:rsidRPr="008124F3">
        <w:rPr>
          <w:b/>
          <w:sz w:val="28"/>
          <w:szCs w:val="26"/>
        </w:rPr>
        <w:t>2</w:t>
      </w:r>
      <w:r w:rsidR="00207340">
        <w:rPr>
          <w:b/>
          <w:sz w:val="28"/>
          <w:szCs w:val="26"/>
        </w:rPr>
        <w:t>5</w:t>
      </w:r>
      <w:r w:rsidRPr="008124F3">
        <w:rPr>
          <w:b/>
          <w:sz w:val="28"/>
          <w:szCs w:val="26"/>
        </w:rPr>
        <w:t xml:space="preserve"> годы</w:t>
      </w:r>
    </w:p>
    <w:p w:rsidR="009461ED" w:rsidRPr="008124F3" w:rsidRDefault="009461ED" w:rsidP="00874CB2">
      <w:pPr>
        <w:keepLines/>
        <w:jc w:val="center"/>
        <w:rPr>
          <w:b/>
          <w:sz w:val="28"/>
          <w:szCs w:val="26"/>
        </w:rPr>
      </w:pPr>
    </w:p>
    <w:p w:rsidR="00933935" w:rsidRPr="008124F3" w:rsidRDefault="00933935" w:rsidP="00874CB2">
      <w:pPr>
        <w:keepLines/>
        <w:spacing w:after="120"/>
        <w:jc w:val="center"/>
        <w:rPr>
          <w:b/>
          <w:sz w:val="28"/>
          <w:szCs w:val="26"/>
        </w:rPr>
      </w:pPr>
      <w:r w:rsidRPr="008124F3">
        <w:rPr>
          <w:b/>
          <w:sz w:val="28"/>
          <w:szCs w:val="26"/>
        </w:rPr>
        <w:t>1. О</w:t>
      </w:r>
      <w:r w:rsidR="009461ED" w:rsidRPr="008124F3">
        <w:rPr>
          <w:b/>
          <w:sz w:val="28"/>
          <w:szCs w:val="26"/>
        </w:rPr>
        <w:t>бщие положения.</w:t>
      </w:r>
    </w:p>
    <w:p w:rsidR="003C068B" w:rsidRPr="008124F3" w:rsidRDefault="003C068B" w:rsidP="005F032F">
      <w:pPr>
        <w:keepLines/>
        <w:ind w:firstLine="567"/>
        <w:jc w:val="both"/>
        <w:rPr>
          <w:bCs/>
          <w:sz w:val="28"/>
          <w:szCs w:val="26"/>
        </w:rPr>
      </w:pPr>
      <w:r w:rsidRPr="008124F3">
        <w:rPr>
          <w:bCs/>
          <w:sz w:val="28"/>
          <w:szCs w:val="26"/>
        </w:rPr>
        <w:t>Программа деятельности некоммерческой организации «Гарантийный фонд для субъектов малого и среднего предпринимательства Оренбургской области»</w:t>
      </w:r>
      <w:r w:rsidR="007A3CE8" w:rsidRPr="008124F3">
        <w:rPr>
          <w:bCs/>
          <w:sz w:val="28"/>
          <w:szCs w:val="26"/>
        </w:rPr>
        <w:t xml:space="preserve"> </w:t>
      </w:r>
      <w:r w:rsidRPr="008124F3">
        <w:rPr>
          <w:bCs/>
          <w:sz w:val="28"/>
          <w:szCs w:val="26"/>
        </w:rPr>
        <w:t>на 20</w:t>
      </w:r>
      <w:r w:rsidR="00B71178" w:rsidRPr="008124F3">
        <w:rPr>
          <w:bCs/>
          <w:sz w:val="28"/>
          <w:szCs w:val="26"/>
        </w:rPr>
        <w:t>2</w:t>
      </w:r>
      <w:r w:rsidR="00207340">
        <w:rPr>
          <w:bCs/>
          <w:sz w:val="28"/>
          <w:szCs w:val="26"/>
        </w:rPr>
        <w:t>3</w:t>
      </w:r>
      <w:r w:rsidRPr="008124F3">
        <w:rPr>
          <w:bCs/>
          <w:sz w:val="28"/>
          <w:szCs w:val="26"/>
        </w:rPr>
        <w:t xml:space="preserve"> – 20</w:t>
      </w:r>
      <w:r w:rsidR="00B71178" w:rsidRPr="008124F3">
        <w:rPr>
          <w:bCs/>
          <w:sz w:val="28"/>
          <w:szCs w:val="26"/>
        </w:rPr>
        <w:t>2</w:t>
      </w:r>
      <w:r w:rsidR="00207340">
        <w:rPr>
          <w:bCs/>
          <w:sz w:val="28"/>
          <w:szCs w:val="26"/>
        </w:rPr>
        <w:t>5</w:t>
      </w:r>
      <w:r w:rsidRPr="008124F3">
        <w:rPr>
          <w:bCs/>
          <w:sz w:val="28"/>
          <w:szCs w:val="26"/>
        </w:rPr>
        <w:t xml:space="preserve"> годы (далее – Программа) подготовлена в соответствии с требованиями Приказа Минэкономразвития России от 28.11.2016 года №763 «Об утверждении требований к фондам содействия кредитованию (гарантийным фондам, фондам поручительств) и их де</w:t>
      </w:r>
      <w:r w:rsidR="00D46210">
        <w:rPr>
          <w:bCs/>
          <w:sz w:val="28"/>
          <w:szCs w:val="26"/>
        </w:rPr>
        <w:t>я</w:t>
      </w:r>
      <w:r w:rsidRPr="008124F3">
        <w:rPr>
          <w:bCs/>
          <w:sz w:val="28"/>
          <w:szCs w:val="26"/>
        </w:rPr>
        <w:t>тельности</w:t>
      </w:r>
      <w:r w:rsidR="008A2ABB" w:rsidRPr="008124F3">
        <w:rPr>
          <w:bCs/>
          <w:sz w:val="28"/>
          <w:szCs w:val="26"/>
        </w:rPr>
        <w:t>»</w:t>
      </w:r>
      <w:r w:rsidRPr="008124F3">
        <w:rPr>
          <w:bCs/>
          <w:sz w:val="28"/>
          <w:szCs w:val="26"/>
        </w:rPr>
        <w:t>.</w:t>
      </w:r>
    </w:p>
    <w:p w:rsidR="007A3CE8" w:rsidRPr="008124F3" w:rsidRDefault="003C068B" w:rsidP="005F032F">
      <w:pPr>
        <w:keepLines/>
        <w:ind w:firstLine="567"/>
        <w:jc w:val="both"/>
        <w:rPr>
          <w:bCs/>
          <w:sz w:val="28"/>
          <w:szCs w:val="26"/>
        </w:rPr>
      </w:pPr>
      <w:r w:rsidRPr="008124F3">
        <w:rPr>
          <w:bCs/>
          <w:sz w:val="28"/>
          <w:szCs w:val="26"/>
        </w:rPr>
        <w:t xml:space="preserve"> </w:t>
      </w:r>
      <w:r w:rsidR="00D46210" w:rsidRPr="000E147C">
        <w:rPr>
          <w:bCs/>
          <w:sz w:val="28"/>
          <w:szCs w:val="26"/>
        </w:rPr>
        <w:t xml:space="preserve">Настоящая </w:t>
      </w:r>
      <w:r w:rsidR="007A3CE8" w:rsidRPr="008124F3">
        <w:rPr>
          <w:bCs/>
          <w:sz w:val="28"/>
          <w:szCs w:val="26"/>
        </w:rPr>
        <w:t>Программа разработана</w:t>
      </w:r>
      <w:r w:rsidR="00207340">
        <w:rPr>
          <w:bCs/>
          <w:sz w:val="28"/>
          <w:szCs w:val="26"/>
        </w:rPr>
        <w:t xml:space="preserve"> </w:t>
      </w:r>
      <w:r w:rsidR="00D46210" w:rsidRPr="000E147C">
        <w:rPr>
          <w:bCs/>
          <w:sz w:val="28"/>
          <w:szCs w:val="26"/>
        </w:rPr>
        <w:t>в</w:t>
      </w:r>
      <w:r w:rsidR="007A3CE8" w:rsidRPr="008124F3">
        <w:rPr>
          <w:bCs/>
          <w:sz w:val="28"/>
          <w:szCs w:val="26"/>
        </w:rPr>
        <w:t xml:space="preserve"> целях</w:t>
      </w:r>
      <w:r w:rsidR="00D46210" w:rsidRPr="000E147C">
        <w:rPr>
          <w:bCs/>
          <w:sz w:val="28"/>
          <w:szCs w:val="26"/>
        </w:rPr>
        <w:t xml:space="preserve"> реализации</w:t>
      </w:r>
      <w:r w:rsidR="0044258D" w:rsidRPr="000E147C">
        <w:rPr>
          <w:bCs/>
          <w:sz w:val="28"/>
          <w:szCs w:val="26"/>
        </w:rPr>
        <w:t xml:space="preserve"> некоммерческой </w:t>
      </w:r>
      <w:r w:rsidR="00D46210" w:rsidRPr="000E147C">
        <w:rPr>
          <w:bCs/>
          <w:sz w:val="28"/>
          <w:szCs w:val="26"/>
        </w:rPr>
        <w:t xml:space="preserve"> </w:t>
      </w:r>
      <w:r w:rsidR="0044258D" w:rsidRPr="000E147C">
        <w:rPr>
          <w:bCs/>
          <w:sz w:val="28"/>
          <w:szCs w:val="26"/>
        </w:rPr>
        <w:t xml:space="preserve">организацией «Гарантийный фонд для субъектов малого и среднего предпринимательства Оренбургской области» </w:t>
      </w:r>
      <w:r w:rsidR="00D46210" w:rsidRPr="000E147C">
        <w:rPr>
          <w:bCs/>
          <w:sz w:val="28"/>
          <w:szCs w:val="26"/>
        </w:rPr>
        <w:t>мероприятий</w:t>
      </w:r>
      <w:r w:rsidR="0044258D" w:rsidRPr="000E147C">
        <w:rPr>
          <w:bCs/>
          <w:sz w:val="28"/>
          <w:szCs w:val="26"/>
        </w:rPr>
        <w:t xml:space="preserve">,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а также </w:t>
      </w:r>
      <w:r w:rsidR="007A3CE8" w:rsidRPr="008124F3">
        <w:rPr>
          <w:bCs/>
          <w:sz w:val="28"/>
          <w:szCs w:val="26"/>
        </w:rPr>
        <w:t>стратегического обеспечения деятельности по предоставлению поручительств субъектам малого и среднего предпринимательства (далее – СМСП</w:t>
      </w:r>
      <w:r w:rsidR="006730CA">
        <w:rPr>
          <w:bCs/>
          <w:sz w:val="28"/>
          <w:szCs w:val="26"/>
        </w:rPr>
        <w:t xml:space="preserve"> и/или субъекты МСП</w:t>
      </w:r>
      <w:r w:rsidR="007A3CE8" w:rsidRPr="008124F3">
        <w:rPr>
          <w:bCs/>
          <w:sz w:val="28"/>
          <w:szCs w:val="26"/>
        </w:rPr>
        <w:t>) и организациям, образующим инфраструктуру поддержки СМСП (далее – организации инфраструктуры поддержки)</w:t>
      </w:r>
      <w:r w:rsidR="006730CA">
        <w:rPr>
          <w:bCs/>
          <w:sz w:val="28"/>
          <w:szCs w:val="26"/>
        </w:rPr>
        <w:t>, а также физическим лицам, применяющим специальный налоговый режим «Налог на профессиональный доход»</w:t>
      </w:r>
      <w:r w:rsidR="007A3CE8" w:rsidRPr="008124F3">
        <w:rPr>
          <w:bCs/>
          <w:sz w:val="28"/>
          <w:szCs w:val="26"/>
        </w:rPr>
        <w:t xml:space="preserve"> в Оренбургской области на трехлетний период и включает в себя:</w:t>
      </w:r>
    </w:p>
    <w:p w:rsidR="00D0416B" w:rsidRPr="008124F3" w:rsidRDefault="00CC679D" w:rsidP="005F032F">
      <w:pPr>
        <w:keepLines/>
        <w:ind w:firstLine="567"/>
        <w:jc w:val="both"/>
        <w:rPr>
          <w:bCs/>
          <w:sz w:val="28"/>
          <w:szCs w:val="26"/>
        </w:rPr>
      </w:pPr>
      <w:r w:rsidRPr="008124F3">
        <w:rPr>
          <w:bCs/>
          <w:sz w:val="28"/>
          <w:szCs w:val="26"/>
        </w:rPr>
        <w:t xml:space="preserve">- </w:t>
      </w:r>
      <w:proofErr w:type="gramStart"/>
      <w:r w:rsidR="007A3CE8" w:rsidRPr="008124F3">
        <w:rPr>
          <w:bCs/>
          <w:sz w:val="28"/>
          <w:szCs w:val="26"/>
        </w:rPr>
        <w:t xml:space="preserve">Анализ </w:t>
      </w:r>
      <w:r w:rsidR="003C068B" w:rsidRPr="008124F3">
        <w:rPr>
          <w:bCs/>
          <w:sz w:val="28"/>
          <w:szCs w:val="26"/>
        </w:rPr>
        <w:t xml:space="preserve"> </w:t>
      </w:r>
      <w:r w:rsidR="007A3CE8" w:rsidRPr="008124F3">
        <w:rPr>
          <w:bCs/>
          <w:sz w:val="28"/>
          <w:szCs w:val="26"/>
        </w:rPr>
        <w:t>деятельности</w:t>
      </w:r>
      <w:proofErr w:type="gramEnd"/>
      <w:r w:rsidR="007A3CE8" w:rsidRPr="008124F3">
        <w:rPr>
          <w:bCs/>
          <w:sz w:val="28"/>
          <w:szCs w:val="26"/>
        </w:rPr>
        <w:t xml:space="preserve"> некоммерческой организации «Гарантийный фонд для субъектов малого и среднего предпринимательства Оренбургской области » (далее – Фонд).</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Ежегодные целевые значения ключевых показателей эффективности деятельности Фонда.</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Мероприятия по продвижению гарантийных продуктов, расширению партнерской сети и позиционированию Фонда.</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Комплекс мероприятий по достижению целевых значений ключевых показателей эффективности деятельности Фонда.</w:t>
      </w:r>
    </w:p>
    <w:p w:rsidR="00957489" w:rsidRPr="008124F3" w:rsidRDefault="00957489" w:rsidP="005F032F">
      <w:pPr>
        <w:keepLines/>
        <w:ind w:firstLine="567"/>
        <w:jc w:val="both"/>
        <w:rPr>
          <w:bCs/>
          <w:sz w:val="28"/>
          <w:szCs w:val="26"/>
        </w:rPr>
      </w:pPr>
      <w:r w:rsidRPr="008124F3">
        <w:rPr>
          <w:bCs/>
          <w:sz w:val="28"/>
          <w:szCs w:val="26"/>
        </w:rPr>
        <w:lastRenderedPageBreak/>
        <w:t>Настоящая Программа, изменения и дополнения в Программу утверждаются</w:t>
      </w:r>
      <w:r w:rsidR="00D03440">
        <w:rPr>
          <w:bCs/>
          <w:sz w:val="28"/>
          <w:szCs w:val="26"/>
        </w:rPr>
        <w:t xml:space="preserve"> директором Фонда по согласованию с</w:t>
      </w:r>
      <w:r w:rsidRPr="008124F3">
        <w:rPr>
          <w:bCs/>
          <w:sz w:val="28"/>
          <w:szCs w:val="26"/>
        </w:rPr>
        <w:t xml:space="preserve"> высшим коллегиальным органом управления Фонда (далее – Наблюдательный совет). Предложения о внесении изменений и дополнений </w:t>
      </w:r>
      <w:proofErr w:type="gramStart"/>
      <w:r w:rsidRPr="008124F3">
        <w:rPr>
          <w:bCs/>
          <w:sz w:val="28"/>
          <w:szCs w:val="26"/>
        </w:rPr>
        <w:t>в  Программу</w:t>
      </w:r>
      <w:proofErr w:type="gramEnd"/>
      <w:r w:rsidRPr="008124F3">
        <w:rPr>
          <w:bCs/>
          <w:sz w:val="28"/>
          <w:szCs w:val="26"/>
        </w:rPr>
        <w:t xml:space="preserve"> могут вноситься директором Фонда, членами Наблюдательного совета Фонда и членами Попечительского совета Фонда.</w:t>
      </w:r>
    </w:p>
    <w:p w:rsidR="00957489" w:rsidRPr="008124F3" w:rsidRDefault="00957489" w:rsidP="005F032F">
      <w:pPr>
        <w:keepLines/>
        <w:ind w:firstLine="567"/>
        <w:jc w:val="both"/>
        <w:rPr>
          <w:bCs/>
          <w:sz w:val="28"/>
          <w:szCs w:val="26"/>
        </w:rPr>
      </w:pPr>
      <w:r w:rsidRPr="008124F3">
        <w:rPr>
          <w:bCs/>
          <w:sz w:val="28"/>
          <w:szCs w:val="26"/>
        </w:rPr>
        <w:t>Если в результате изменения нормативных актов Российской Федерации отдельные статьи Программы противоречат указанным изменениям, эти статьи Программы утрачивают силу, и до момента внесения соответствующих изменений в Программу, Фонд руководствуется в своей деятельности требованиями нормативных актов Российской Федерации.</w:t>
      </w:r>
    </w:p>
    <w:p w:rsidR="0009753C" w:rsidRPr="008124F3" w:rsidRDefault="0009753C" w:rsidP="005F032F">
      <w:pPr>
        <w:keepLines/>
        <w:ind w:firstLine="567"/>
        <w:jc w:val="both"/>
        <w:rPr>
          <w:bCs/>
          <w:sz w:val="28"/>
          <w:szCs w:val="26"/>
        </w:rPr>
      </w:pPr>
    </w:p>
    <w:p w:rsidR="0009753C" w:rsidRPr="008124F3" w:rsidRDefault="0009753C" w:rsidP="005F032F">
      <w:pPr>
        <w:keepLines/>
        <w:ind w:firstLine="567"/>
        <w:jc w:val="center"/>
        <w:rPr>
          <w:b/>
          <w:bCs/>
          <w:sz w:val="28"/>
          <w:szCs w:val="26"/>
        </w:rPr>
      </w:pPr>
      <w:r w:rsidRPr="008124F3">
        <w:rPr>
          <w:b/>
          <w:bCs/>
          <w:sz w:val="28"/>
          <w:szCs w:val="26"/>
        </w:rPr>
        <w:t>2. Анализ деятельности Фонда</w:t>
      </w:r>
    </w:p>
    <w:p w:rsidR="0009753C" w:rsidRPr="008124F3" w:rsidRDefault="0009753C" w:rsidP="005F032F">
      <w:pPr>
        <w:keepLines/>
        <w:ind w:firstLine="567"/>
        <w:jc w:val="center"/>
        <w:rPr>
          <w:b/>
          <w:bCs/>
          <w:sz w:val="28"/>
          <w:szCs w:val="26"/>
        </w:rPr>
      </w:pPr>
    </w:p>
    <w:p w:rsidR="0009753C" w:rsidRPr="008124F3" w:rsidRDefault="0009753C" w:rsidP="005F032F">
      <w:pPr>
        <w:keepLines/>
        <w:ind w:firstLine="567"/>
        <w:jc w:val="both"/>
        <w:rPr>
          <w:sz w:val="28"/>
          <w:szCs w:val="26"/>
        </w:rPr>
      </w:pPr>
      <w:r w:rsidRPr="008124F3">
        <w:rPr>
          <w:bCs/>
          <w:sz w:val="28"/>
          <w:szCs w:val="26"/>
        </w:rPr>
        <w:t xml:space="preserve">Некоммерческая организация «Гарантийный фонд для субъектов малого и среднего предпринимательства Оренбургской </w:t>
      </w:r>
      <w:proofErr w:type="gramStart"/>
      <w:r w:rsidRPr="008124F3">
        <w:rPr>
          <w:bCs/>
          <w:sz w:val="28"/>
          <w:szCs w:val="26"/>
        </w:rPr>
        <w:t>области »</w:t>
      </w:r>
      <w:proofErr w:type="gramEnd"/>
      <w:r w:rsidRPr="008124F3">
        <w:rPr>
          <w:bCs/>
          <w:sz w:val="28"/>
          <w:szCs w:val="26"/>
        </w:rPr>
        <w:t xml:space="preserve"> </w:t>
      </w:r>
      <w:r w:rsidR="00602663" w:rsidRPr="008124F3">
        <w:rPr>
          <w:bCs/>
          <w:sz w:val="28"/>
          <w:szCs w:val="26"/>
        </w:rPr>
        <w:t xml:space="preserve">создана в соответствии с Указом Губернатора Оренбургской области от 02.12.2008 г. №146-ук «О создании </w:t>
      </w:r>
      <w:r w:rsidR="00602663" w:rsidRPr="008124F3">
        <w:rPr>
          <w:sz w:val="28"/>
          <w:szCs w:val="26"/>
        </w:rPr>
        <w:t>некоммерческой организации "Гарантийный фонд для субъектов малого и среднего предпринимательства Оренбургской области" и действует на основании Устава</w:t>
      </w:r>
      <w:r w:rsidR="005F032F" w:rsidRPr="008124F3">
        <w:rPr>
          <w:sz w:val="28"/>
          <w:szCs w:val="26"/>
        </w:rPr>
        <w:t>. В Уставе определены основные виды деятельности Фонда, порядок формирования и полномочия органов управления Фондом, источники формирования и порядок использования имущества Фонда.</w:t>
      </w:r>
    </w:p>
    <w:p w:rsidR="005F032F" w:rsidRDefault="005F032F" w:rsidP="005F032F">
      <w:pPr>
        <w:keepLines/>
        <w:ind w:firstLine="567"/>
        <w:jc w:val="both"/>
        <w:rPr>
          <w:sz w:val="28"/>
          <w:szCs w:val="28"/>
        </w:rPr>
      </w:pPr>
      <w:r>
        <w:rPr>
          <w:sz w:val="28"/>
          <w:szCs w:val="28"/>
        </w:rPr>
        <w:t>Деятельность Фонда является гласной, а информация о его учредительных и программных документах – общедоступной.</w:t>
      </w:r>
    </w:p>
    <w:p w:rsidR="005F032F" w:rsidRDefault="005F032F" w:rsidP="005F032F">
      <w:pPr>
        <w:keepLines/>
        <w:ind w:firstLine="567"/>
        <w:jc w:val="both"/>
        <w:rPr>
          <w:sz w:val="28"/>
          <w:szCs w:val="28"/>
        </w:rPr>
      </w:pPr>
      <w:r>
        <w:rPr>
          <w:sz w:val="28"/>
          <w:szCs w:val="28"/>
        </w:rPr>
        <w:t>Целью деятельности Фонда является реализация государственной политики поддержки и развития малого и среднего предпринимательства в Оренбургской области.</w:t>
      </w:r>
    </w:p>
    <w:p w:rsidR="005F032F" w:rsidRDefault="005F032F" w:rsidP="005F032F">
      <w:pPr>
        <w:keepLines/>
        <w:ind w:firstLine="567"/>
        <w:jc w:val="both"/>
        <w:rPr>
          <w:sz w:val="28"/>
          <w:szCs w:val="28"/>
        </w:rPr>
      </w:pPr>
      <w:r>
        <w:rPr>
          <w:sz w:val="28"/>
          <w:szCs w:val="28"/>
        </w:rPr>
        <w:t>Основными видами деятельности Фонда являются:</w:t>
      </w:r>
    </w:p>
    <w:p w:rsidR="0011015A" w:rsidRDefault="0011015A">
      <w:pPr>
        <w:keepLines/>
        <w:ind w:firstLine="567"/>
        <w:jc w:val="both"/>
        <w:rPr>
          <w:sz w:val="28"/>
          <w:szCs w:val="28"/>
        </w:rPr>
      </w:pPr>
    </w:p>
    <w:p w:rsidR="006730CA" w:rsidRDefault="006730CA" w:rsidP="006730CA">
      <w:pPr>
        <w:keepLines/>
        <w:ind w:firstLine="567"/>
        <w:jc w:val="both"/>
        <w:rPr>
          <w:sz w:val="28"/>
          <w:szCs w:val="28"/>
        </w:rPr>
      </w:pPr>
      <w:r>
        <w:rPr>
          <w:sz w:val="28"/>
          <w:szCs w:val="28"/>
        </w:rPr>
        <w:t xml:space="preserve">- </w:t>
      </w:r>
      <w:r w:rsidRPr="006730CA">
        <w:rPr>
          <w:sz w:val="28"/>
          <w:szCs w:val="28"/>
        </w:rPr>
        <w:t>предоставление поручительств (гарантий) по обязательствам субъектов малого и среднего предпринимательства и организаций инфраструктуры поддержки малого и среднего предпринимательства, а также по обязательствам физических лиц, применяющих специальный налоговый режим "Налог на профессиональный доход";</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консультирование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sz w:val="28"/>
          <w:szCs w:val="28"/>
        </w:rPr>
        <w:t xml:space="preserve"> </w:t>
      </w:r>
      <w:r w:rsidRPr="006730CA">
        <w:rPr>
          <w:sz w:val="28"/>
          <w:szCs w:val="28"/>
        </w:rPr>
        <w:t>по вопросам коммерческой деятельности и управления;</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издание книг, брошюр, рекламных буклетов и аналогичных изданий;</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оказанию услуг в области бухгалтерского учета, по проведению финансового аудита, по налоговому консультированию;</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исследование конъюнктуры рынка;</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организации конференций и выставок;</w:t>
      </w:r>
    </w:p>
    <w:p w:rsidR="006730CA" w:rsidRPr="006730CA" w:rsidRDefault="006730CA" w:rsidP="006730CA">
      <w:pPr>
        <w:keepLines/>
        <w:ind w:firstLine="567"/>
        <w:jc w:val="both"/>
        <w:rPr>
          <w:sz w:val="28"/>
          <w:szCs w:val="28"/>
        </w:rPr>
      </w:pPr>
      <w:r>
        <w:rPr>
          <w:sz w:val="28"/>
          <w:szCs w:val="28"/>
        </w:rPr>
        <w:lastRenderedPageBreak/>
        <w:t>-</w:t>
      </w:r>
      <w:r w:rsidRPr="006730CA">
        <w:rPr>
          <w:sz w:val="28"/>
          <w:szCs w:val="28"/>
        </w:rPr>
        <w:t xml:space="preserve"> деятельность по предоставлению консультационных услуг по вопросам финансового посредничества;</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созданию и использованию баз данных и информационных ресурсов</w:t>
      </w:r>
      <w:r w:rsidR="00654BEE">
        <w:rPr>
          <w:sz w:val="28"/>
          <w:szCs w:val="28"/>
        </w:rPr>
        <w:t>.</w:t>
      </w:r>
    </w:p>
    <w:p w:rsidR="00BB035A" w:rsidRDefault="00BB035A" w:rsidP="005F032F">
      <w:pPr>
        <w:keepLines/>
        <w:ind w:firstLine="567"/>
        <w:jc w:val="both"/>
        <w:rPr>
          <w:sz w:val="28"/>
          <w:szCs w:val="28"/>
        </w:rPr>
      </w:pPr>
      <w:r>
        <w:rPr>
          <w:sz w:val="28"/>
          <w:szCs w:val="28"/>
        </w:rPr>
        <w:t>Фонд размещает информацию, подлежащую раскрытию, на своем официальном сайте в информационно-телекоммуникационной сети «Интернет» и обеспечивает свободный доступ к информации, подлежащей раскрытию, а также сообщает по требованию заинтересованных лиц адрес официального сайта Фонда (адреса страницы) в информационно-телекоммуникационной сети «Интернет», на которых размещается данная информация.</w:t>
      </w:r>
      <w:r w:rsidR="003B673B">
        <w:rPr>
          <w:sz w:val="28"/>
          <w:szCs w:val="28"/>
        </w:rPr>
        <w:t xml:space="preserve"> Фонд</w:t>
      </w:r>
      <w:r w:rsidR="003B673B" w:rsidRPr="003B673B">
        <w:rPr>
          <w:sz w:val="28"/>
          <w:szCs w:val="28"/>
        </w:rPr>
        <w:t xml:space="preserve"> ежемесячно до пятого числа месяца, следующего за отчетным, размеща</w:t>
      </w:r>
      <w:r w:rsidR="003B673B">
        <w:rPr>
          <w:sz w:val="28"/>
          <w:szCs w:val="28"/>
        </w:rPr>
        <w:t>е</w:t>
      </w:r>
      <w:r w:rsidR="003B673B" w:rsidRPr="003B673B">
        <w:rPr>
          <w:sz w:val="28"/>
          <w:szCs w:val="28"/>
        </w:rPr>
        <w:t xml:space="preserve">т на официальных сайтах информационной поддержки субъектов малого и среднего предпринимательства </w:t>
      </w:r>
      <w:proofErr w:type="gramStart"/>
      <w:r w:rsidR="003B673B" w:rsidRPr="003B673B">
        <w:rPr>
          <w:sz w:val="28"/>
          <w:szCs w:val="28"/>
        </w:rPr>
        <w:t>и  на</w:t>
      </w:r>
      <w:proofErr w:type="gramEnd"/>
      <w:r w:rsidR="003B673B" w:rsidRPr="003B673B">
        <w:rPr>
          <w:sz w:val="28"/>
          <w:szCs w:val="28"/>
        </w:rPr>
        <w:t xml:space="preserve"> сво</w:t>
      </w:r>
      <w:r w:rsidR="003B673B">
        <w:rPr>
          <w:sz w:val="28"/>
          <w:szCs w:val="28"/>
        </w:rPr>
        <w:t>ем</w:t>
      </w:r>
      <w:r w:rsidR="003B673B" w:rsidRPr="003B673B">
        <w:rPr>
          <w:sz w:val="28"/>
          <w:szCs w:val="28"/>
        </w:rPr>
        <w:t xml:space="preserve"> официальн</w:t>
      </w:r>
      <w:r w:rsidR="003B673B">
        <w:rPr>
          <w:sz w:val="28"/>
          <w:szCs w:val="28"/>
        </w:rPr>
        <w:t>ом</w:t>
      </w:r>
      <w:r w:rsidR="003B673B" w:rsidRPr="003B673B">
        <w:rPr>
          <w:sz w:val="28"/>
          <w:szCs w:val="28"/>
        </w:rPr>
        <w:t xml:space="preserve"> сайт</w:t>
      </w:r>
      <w:r w:rsidR="003B673B">
        <w:rPr>
          <w:sz w:val="28"/>
          <w:szCs w:val="28"/>
        </w:rPr>
        <w:t>е</w:t>
      </w:r>
      <w:r w:rsidR="003B673B" w:rsidRPr="003B673B">
        <w:rPr>
          <w:sz w:val="28"/>
          <w:szCs w:val="28"/>
        </w:rPr>
        <w:t xml:space="preserve">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B035A" w:rsidRDefault="006B04B6" w:rsidP="005F032F">
      <w:pPr>
        <w:keepLines/>
        <w:ind w:firstLine="567"/>
        <w:jc w:val="both"/>
        <w:rPr>
          <w:sz w:val="28"/>
          <w:szCs w:val="28"/>
        </w:rPr>
      </w:pPr>
      <w:r>
        <w:rPr>
          <w:sz w:val="28"/>
          <w:szCs w:val="28"/>
        </w:rPr>
        <w:t>Фонд</w:t>
      </w:r>
      <w:r w:rsidR="009D0E55">
        <w:rPr>
          <w:sz w:val="28"/>
          <w:szCs w:val="28"/>
        </w:rPr>
        <w:t xml:space="preserve"> </w:t>
      </w:r>
      <w:r w:rsidR="009D0E55" w:rsidRPr="009D0E55">
        <w:rPr>
          <w:sz w:val="28"/>
          <w:szCs w:val="28"/>
        </w:rPr>
        <w:t>о</w:t>
      </w:r>
      <w:r w:rsidR="003B673B">
        <w:rPr>
          <w:sz w:val="28"/>
          <w:szCs w:val="28"/>
        </w:rPr>
        <w:t>существляет</w:t>
      </w:r>
      <w:r w:rsidR="009D0E55" w:rsidRPr="009D0E55">
        <w:rPr>
          <w:sz w:val="28"/>
          <w:szCs w:val="28"/>
        </w:rPr>
        <w:t xml:space="preserve">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01C78" w:rsidRPr="008124F3" w:rsidRDefault="00946FFC" w:rsidP="008124F3">
      <w:pPr>
        <w:autoSpaceDE w:val="0"/>
        <w:autoSpaceDN w:val="0"/>
        <w:adjustRightInd w:val="0"/>
        <w:jc w:val="both"/>
        <w:rPr>
          <w:sz w:val="28"/>
          <w:szCs w:val="26"/>
        </w:rPr>
      </w:pPr>
      <w:r w:rsidRPr="00946FFC">
        <w:rPr>
          <w:sz w:val="26"/>
          <w:szCs w:val="26"/>
        </w:rPr>
        <w:tab/>
      </w:r>
      <w:r w:rsidR="00F01C78" w:rsidRPr="008124F3">
        <w:rPr>
          <w:sz w:val="28"/>
          <w:szCs w:val="26"/>
        </w:rPr>
        <w:t>Всего за период деятельности Фонда</w:t>
      </w:r>
      <w:r w:rsidR="00CB2587">
        <w:rPr>
          <w:sz w:val="28"/>
          <w:szCs w:val="26"/>
        </w:rPr>
        <w:t>, по состоянию на 01.1</w:t>
      </w:r>
      <w:r w:rsidR="00FF7877">
        <w:rPr>
          <w:sz w:val="28"/>
          <w:szCs w:val="26"/>
        </w:rPr>
        <w:t>2</w:t>
      </w:r>
      <w:r w:rsidR="00CB2587">
        <w:rPr>
          <w:sz w:val="28"/>
          <w:szCs w:val="26"/>
        </w:rPr>
        <w:t>.2022 г.</w:t>
      </w:r>
      <w:r w:rsidR="00F01C78" w:rsidRPr="008124F3">
        <w:rPr>
          <w:sz w:val="28"/>
          <w:szCs w:val="26"/>
        </w:rPr>
        <w:t xml:space="preserve"> предоставлено </w:t>
      </w:r>
      <w:r w:rsidR="00C15A82">
        <w:rPr>
          <w:sz w:val="28"/>
          <w:szCs w:val="26"/>
        </w:rPr>
        <w:t>735</w:t>
      </w:r>
      <w:r w:rsidR="00F01C78" w:rsidRPr="008124F3">
        <w:rPr>
          <w:sz w:val="28"/>
          <w:szCs w:val="26"/>
        </w:rPr>
        <w:t xml:space="preserve"> поручительств на общую сумму </w:t>
      </w:r>
      <w:r w:rsidR="00476F16">
        <w:rPr>
          <w:sz w:val="28"/>
          <w:szCs w:val="26"/>
        </w:rPr>
        <w:t>3 749,2</w:t>
      </w:r>
      <w:r w:rsidR="00F01C78" w:rsidRPr="008124F3">
        <w:rPr>
          <w:sz w:val="28"/>
          <w:szCs w:val="26"/>
        </w:rPr>
        <w:t xml:space="preserve"> млн. руб., общая сумма кредитов, выданных под поручительство Фонда, составила</w:t>
      </w:r>
      <w:r w:rsidR="00476F16">
        <w:rPr>
          <w:sz w:val="28"/>
          <w:szCs w:val="26"/>
        </w:rPr>
        <w:t xml:space="preserve"> 9 220,1</w:t>
      </w:r>
      <w:r w:rsidR="00F01C78" w:rsidRPr="008124F3">
        <w:rPr>
          <w:sz w:val="28"/>
          <w:szCs w:val="26"/>
        </w:rPr>
        <w:t xml:space="preserve"> млн.</w:t>
      </w:r>
      <w:r w:rsidR="00F01C78" w:rsidRPr="008124F3">
        <w:rPr>
          <w:rFonts w:eastAsiaTheme="minorHAnsi"/>
          <w:bCs/>
          <w:color w:val="000000"/>
          <w:sz w:val="28"/>
          <w:szCs w:val="26"/>
          <w:lang w:eastAsia="en-US"/>
        </w:rPr>
        <w:t xml:space="preserve"> </w:t>
      </w:r>
      <w:r w:rsidR="00F01C78" w:rsidRPr="008124F3">
        <w:rPr>
          <w:sz w:val="28"/>
          <w:szCs w:val="26"/>
        </w:rPr>
        <w:t xml:space="preserve">руб. За период </w:t>
      </w:r>
      <w:r w:rsidR="00476F16">
        <w:rPr>
          <w:sz w:val="28"/>
          <w:szCs w:val="26"/>
        </w:rPr>
        <w:t xml:space="preserve">с </w:t>
      </w:r>
      <w:r w:rsidR="00F01C78" w:rsidRPr="008124F3">
        <w:rPr>
          <w:sz w:val="28"/>
          <w:szCs w:val="26"/>
        </w:rPr>
        <w:t>20</w:t>
      </w:r>
      <w:r w:rsidR="00654BEE">
        <w:rPr>
          <w:sz w:val="28"/>
          <w:szCs w:val="26"/>
        </w:rPr>
        <w:t>20</w:t>
      </w:r>
      <w:r w:rsidR="00476F16">
        <w:rPr>
          <w:sz w:val="28"/>
          <w:szCs w:val="26"/>
        </w:rPr>
        <w:t xml:space="preserve"> по 01.12.</w:t>
      </w:r>
      <w:r w:rsidR="00F01C78" w:rsidRPr="008124F3">
        <w:rPr>
          <w:sz w:val="28"/>
          <w:szCs w:val="26"/>
        </w:rPr>
        <w:t>20</w:t>
      </w:r>
      <w:r w:rsidR="00654BEE">
        <w:rPr>
          <w:sz w:val="28"/>
          <w:szCs w:val="26"/>
        </w:rPr>
        <w:t>22</w:t>
      </w:r>
      <w:r w:rsidR="00F01C78" w:rsidRPr="008124F3">
        <w:rPr>
          <w:sz w:val="28"/>
          <w:szCs w:val="26"/>
        </w:rPr>
        <w:t xml:space="preserve"> годов Фондом предоставлено </w:t>
      </w:r>
      <w:r w:rsidR="00476F16">
        <w:rPr>
          <w:sz w:val="28"/>
          <w:szCs w:val="26"/>
        </w:rPr>
        <w:t>269</w:t>
      </w:r>
      <w:r w:rsidR="00F01C78" w:rsidRPr="008124F3">
        <w:rPr>
          <w:sz w:val="28"/>
          <w:szCs w:val="26"/>
        </w:rPr>
        <w:t xml:space="preserve"> поручительств на общую сумму </w:t>
      </w:r>
      <w:r w:rsidR="00476F16">
        <w:rPr>
          <w:sz w:val="28"/>
          <w:szCs w:val="26"/>
        </w:rPr>
        <w:t>1 815,2</w:t>
      </w:r>
      <w:r w:rsidR="00F01C78" w:rsidRPr="008124F3">
        <w:rPr>
          <w:sz w:val="28"/>
          <w:szCs w:val="26"/>
        </w:rPr>
        <w:t xml:space="preserve"> млн. руб., общая сумма кредитов, выданных под поручительство Фонда, составила </w:t>
      </w:r>
      <w:r w:rsidR="00476F16">
        <w:rPr>
          <w:sz w:val="28"/>
          <w:szCs w:val="26"/>
        </w:rPr>
        <w:t>4 117,20</w:t>
      </w:r>
      <w:r w:rsidR="00F01C78" w:rsidRPr="008124F3">
        <w:rPr>
          <w:sz w:val="28"/>
          <w:szCs w:val="26"/>
        </w:rPr>
        <w:t xml:space="preserve"> млн.</w:t>
      </w:r>
      <w:r w:rsidR="00F01C78" w:rsidRPr="008124F3">
        <w:rPr>
          <w:rFonts w:eastAsiaTheme="minorHAnsi"/>
          <w:bCs/>
          <w:color w:val="000000"/>
          <w:sz w:val="28"/>
          <w:szCs w:val="26"/>
          <w:lang w:eastAsia="en-US"/>
        </w:rPr>
        <w:t xml:space="preserve"> </w:t>
      </w:r>
      <w:r w:rsidR="00F01C78" w:rsidRPr="008124F3">
        <w:rPr>
          <w:sz w:val="28"/>
          <w:szCs w:val="26"/>
        </w:rPr>
        <w:t>руб.</w:t>
      </w:r>
    </w:p>
    <w:p w:rsidR="00F01C78" w:rsidRPr="008124F3" w:rsidRDefault="00F01C78" w:rsidP="00F01C78">
      <w:pPr>
        <w:spacing w:before="120"/>
        <w:ind w:firstLine="709"/>
        <w:jc w:val="both"/>
        <w:rPr>
          <w:sz w:val="28"/>
          <w:szCs w:val="26"/>
        </w:rPr>
      </w:pPr>
      <w:r w:rsidRPr="008124F3">
        <w:rPr>
          <w:sz w:val="28"/>
          <w:szCs w:val="26"/>
        </w:rPr>
        <w:t xml:space="preserve">Количество поручительств, предоставленных </w:t>
      </w:r>
      <w:r w:rsidR="00442ECC">
        <w:rPr>
          <w:sz w:val="28"/>
          <w:szCs w:val="26"/>
        </w:rPr>
        <w:t>за 11 месяцев</w:t>
      </w:r>
      <w:r w:rsidRPr="008124F3">
        <w:rPr>
          <w:sz w:val="28"/>
          <w:szCs w:val="26"/>
        </w:rPr>
        <w:t xml:space="preserve"> 20</w:t>
      </w:r>
      <w:r w:rsidR="00654BEE">
        <w:rPr>
          <w:sz w:val="28"/>
          <w:szCs w:val="26"/>
        </w:rPr>
        <w:t>22</w:t>
      </w:r>
      <w:r w:rsidRPr="008124F3">
        <w:rPr>
          <w:sz w:val="28"/>
          <w:szCs w:val="26"/>
        </w:rPr>
        <w:t xml:space="preserve"> г., увеличилось на </w:t>
      </w:r>
      <w:r w:rsidR="00442ECC">
        <w:rPr>
          <w:sz w:val="28"/>
          <w:szCs w:val="26"/>
        </w:rPr>
        <w:t>100</w:t>
      </w:r>
      <w:r w:rsidRPr="008124F3">
        <w:rPr>
          <w:sz w:val="28"/>
          <w:szCs w:val="26"/>
        </w:rPr>
        <w:t xml:space="preserve"> поручительств по сравнению с 20</w:t>
      </w:r>
      <w:r w:rsidR="00654BEE">
        <w:rPr>
          <w:sz w:val="28"/>
          <w:szCs w:val="26"/>
        </w:rPr>
        <w:t>20</w:t>
      </w:r>
      <w:r w:rsidRPr="008124F3">
        <w:rPr>
          <w:sz w:val="28"/>
          <w:szCs w:val="26"/>
        </w:rPr>
        <w:t xml:space="preserve"> г. и на </w:t>
      </w:r>
      <w:r w:rsidR="00442ECC">
        <w:rPr>
          <w:sz w:val="28"/>
          <w:szCs w:val="26"/>
        </w:rPr>
        <w:t>100</w:t>
      </w:r>
      <w:r w:rsidRPr="008124F3">
        <w:rPr>
          <w:sz w:val="28"/>
          <w:szCs w:val="26"/>
        </w:rPr>
        <w:t xml:space="preserve"> поручительств по сравнению с 20</w:t>
      </w:r>
      <w:r w:rsidR="00654BEE">
        <w:rPr>
          <w:sz w:val="28"/>
          <w:szCs w:val="26"/>
        </w:rPr>
        <w:t>21</w:t>
      </w:r>
      <w:r w:rsidRPr="008124F3">
        <w:rPr>
          <w:sz w:val="28"/>
          <w:szCs w:val="26"/>
        </w:rPr>
        <w:t xml:space="preserve"> г.</w:t>
      </w:r>
    </w:p>
    <w:p w:rsidR="00F01C78" w:rsidRDefault="00442ECC" w:rsidP="00F01C78">
      <w:pPr>
        <w:spacing w:before="120"/>
        <w:jc w:val="both"/>
        <w:rPr>
          <w:sz w:val="26"/>
          <w:szCs w:val="26"/>
        </w:rPr>
      </w:pPr>
      <w:r>
        <w:rPr>
          <w:noProof/>
        </w:rPr>
        <w:drawing>
          <wp:inline distT="0" distB="0" distL="0" distR="0" wp14:anchorId="253D0C6B" wp14:editId="32121906">
            <wp:extent cx="6137452" cy="2743200"/>
            <wp:effectExtent l="0" t="0" r="0" b="0"/>
            <wp:docPr id="1" name="Диаграмма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1C78" w:rsidRPr="008124F3" w:rsidRDefault="00F01C78" w:rsidP="00F01C78">
      <w:pPr>
        <w:spacing w:before="120"/>
        <w:ind w:firstLine="709"/>
        <w:jc w:val="both"/>
        <w:rPr>
          <w:sz w:val="28"/>
          <w:szCs w:val="26"/>
        </w:rPr>
      </w:pPr>
      <w:r w:rsidRPr="008124F3">
        <w:rPr>
          <w:sz w:val="28"/>
          <w:szCs w:val="26"/>
        </w:rPr>
        <w:t xml:space="preserve">Объем поручительств, выданных </w:t>
      </w:r>
      <w:r w:rsidR="00FF7877">
        <w:rPr>
          <w:sz w:val="28"/>
          <w:szCs w:val="26"/>
        </w:rPr>
        <w:t>за 11 месяцев</w:t>
      </w:r>
      <w:r w:rsidRPr="008124F3">
        <w:rPr>
          <w:sz w:val="28"/>
          <w:szCs w:val="26"/>
        </w:rPr>
        <w:t xml:space="preserve"> 20</w:t>
      </w:r>
      <w:r w:rsidR="00654BEE">
        <w:rPr>
          <w:sz w:val="28"/>
          <w:szCs w:val="26"/>
        </w:rPr>
        <w:t>22</w:t>
      </w:r>
      <w:r w:rsidRPr="008124F3">
        <w:rPr>
          <w:sz w:val="28"/>
          <w:szCs w:val="26"/>
        </w:rPr>
        <w:t xml:space="preserve"> г., увеличился по сравнению с 20</w:t>
      </w:r>
      <w:r w:rsidR="00654BEE">
        <w:rPr>
          <w:sz w:val="28"/>
          <w:szCs w:val="26"/>
        </w:rPr>
        <w:t>2</w:t>
      </w:r>
      <w:r w:rsidR="00FF7877">
        <w:rPr>
          <w:sz w:val="28"/>
          <w:szCs w:val="26"/>
        </w:rPr>
        <w:t>1</w:t>
      </w:r>
      <w:r w:rsidRPr="008124F3">
        <w:rPr>
          <w:sz w:val="28"/>
          <w:szCs w:val="26"/>
        </w:rPr>
        <w:t xml:space="preserve"> г. на </w:t>
      </w:r>
      <w:r w:rsidR="00FF7877">
        <w:rPr>
          <w:sz w:val="28"/>
          <w:szCs w:val="26"/>
        </w:rPr>
        <w:t>764</w:t>
      </w:r>
      <w:r w:rsidRPr="008124F3">
        <w:rPr>
          <w:sz w:val="28"/>
          <w:szCs w:val="26"/>
        </w:rPr>
        <w:t xml:space="preserve"> млн. руб. или на </w:t>
      </w:r>
      <w:r w:rsidR="00FF7877">
        <w:rPr>
          <w:sz w:val="28"/>
          <w:szCs w:val="26"/>
        </w:rPr>
        <w:t>318,3</w:t>
      </w:r>
      <w:r w:rsidRPr="008124F3">
        <w:rPr>
          <w:sz w:val="28"/>
          <w:szCs w:val="26"/>
        </w:rPr>
        <w:t xml:space="preserve"> %. </w:t>
      </w:r>
    </w:p>
    <w:p w:rsidR="00F01C78" w:rsidRPr="00004FEA" w:rsidRDefault="00442ECC" w:rsidP="00F01C78">
      <w:pPr>
        <w:autoSpaceDE w:val="0"/>
        <w:autoSpaceDN w:val="0"/>
        <w:adjustRightInd w:val="0"/>
        <w:jc w:val="both"/>
        <w:rPr>
          <w:sz w:val="26"/>
          <w:szCs w:val="26"/>
          <w:lang w:val="en-US"/>
        </w:rPr>
      </w:pPr>
      <w:r>
        <w:rPr>
          <w:noProof/>
        </w:rPr>
        <w:lastRenderedPageBreak/>
        <w:drawing>
          <wp:inline distT="0" distB="0" distL="0" distR="0" wp14:anchorId="1B202B59" wp14:editId="3C2BBE03">
            <wp:extent cx="5757062" cy="2743200"/>
            <wp:effectExtent l="0" t="0" r="0" b="0"/>
            <wp:docPr id="2" name="Диаграмма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C78" w:rsidRDefault="00F01C78" w:rsidP="00F01C78">
      <w:pPr>
        <w:autoSpaceDE w:val="0"/>
        <w:autoSpaceDN w:val="0"/>
        <w:adjustRightInd w:val="0"/>
        <w:jc w:val="both"/>
        <w:rPr>
          <w:sz w:val="26"/>
          <w:szCs w:val="26"/>
        </w:rPr>
      </w:pPr>
    </w:p>
    <w:p w:rsidR="00F01C78" w:rsidRPr="008124F3" w:rsidRDefault="00F01C78" w:rsidP="00F01C78">
      <w:pPr>
        <w:autoSpaceDE w:val="0"/>
        <w:autoSpaceDN w:val="0"/>
        <w:adjustRightInd w:val="0"/>
        <w:ind w:firstLine="708"/>
        <w:jc w:val="both"/>
        <w:rPr>
          <w:sz w:val="28"/>
          <w:szCs w:val="26"/>
        </w:rPr>
      </w:pPr>
      <w:r w:rsidRPr="008124F3">
        <w:rPr>
          <w:sz w:val="28"/>
          <w:szCs w:val="26"/>
        </w:rPr>
        <w:t>Сумма кредитов, предоставленных под поручительство Фонда, в 20</w:t>
      </w:r>
      <w:r w:rsidR="00654BEE">
        <w:rPr>
          <w:sz w:val="28"/>
          <w:szCs w:val="26"/>
        </w:rPr>
        <w:t>20</w:t>
      </w:r>
      <w:r w:rsidRPr="008124F3">
        <w:rPr>
          <w:sz w:val="28"/>
          <w:szCs w:val="26"/>
        </w:rPr>
        <w:t xml:space="preserve"> г. составила </w:t>
      </w:r>
      <w:r w:rsidR="00FF7877">
        <w:rPr>
          <w:sz w:val="28"/>
          <w:szCs w:val="26"/>
        </w:rPr>
        <w:t xml:space="preserve">981,5 </w:t>
      </w:r>
      <w:r w:rsidRPr="008124F3">
        <w:rPr>
          <w:sz w:val="28"/>
          <w:szCs w:val="26"/>
        </w:rPr>
        <w:t>млн. руб., в 20</w:t>
      </w:r>
      <w:r w:rsidR="00654BEE">
        <w:rPr>
          <w:sz w:val="28"/>
          <w:szCs w:val="26"/>
        </w:rPr>
        <w:t>21</w:t>
      </w:r>
      <w:r w:rsidRPr="008124F3">
        <w:rPr>
          <w:sz w:val="28"/>
          <w:szCs w:val="26"/>
        </w:rPr>
        <w:t xml:space="preserve"> г. – </w:t>
      </w:r>
      <w:r w:rsidR="00FF7877">
        <w:rPr>
          <w:sz w:val="28"/>
          <w:szCs w:val="26"/>
        </w:rPr>
        <w:t>77</w:t>
      </w:r>
      <w:r w:rsidR="00AB723B">
        <w:rPr>
          <w:sz w:val="28"/>
          <w:szCs w:val="26"/>
        </w:rPr>
        <w:t>9</w:t>
      </w:r>
      <w:r w:rsidR="00FF7877">
        <w:rPr>
          <w:sz w:val="28"/>
          <w:szCs w:val="26"/>
        </w:rPr>
        <w:t>,</w:t>
      </w:r>
      <w:r w:rsidR="00AB723B">
        <w:rPr>
          <w:sz w:val="28"/>
          <w:szCs w:val="26"/>
        </w:rPr>
        <w:t>1</w:t>
      </w:r>
      <w:r w:rsidRPr="008124F3">
        <w:rPr>
          <w:sz w:val="28"/>
          <w:szCs w:val="26"/>
        </w:rPr>
        <w:t xml:space="preserve"> млн. руб., </w:t>
      </w:r>
      <w:r w:rsidR="00AB723B">
        <w:rPr>
          <w:sz w:val="28"/>
          <w:szCs w:val="26"/>
        </w:rPr>
        <w:t>за 11 месяцев</w:t>
      </w:r>
      <w:r w:rsidRPr="008124F3">
        <w:rPr>
          <w:sz w:val="28"/>
          <w:szCs w:val="26"/>
        </w:rPr>
        <w:t xml:space="preserve"> 20</w:t>
      </w:r>
      <w:r w:rsidR="00654BEE">
        <w:rPr>
          <w:sz w:val="28"/>
          <w:szCs w:val="26"/>
        </w:rPr>
        <w:t>22</w:t>
      </w:r>
      <w:r w:rsidRPr="008124F3">
        <w:rPr>
          <w:sz w:val="28"/>
          <w:szCs w:val="26"/>
        </w:rPr>
        <w:t xml:space="preserve"> г. – </w:t>
      </w:r>
      <w:r w:rsidR="00AB723B">
        <w:rPr>
          <w:sz w:val="28"/>
          <w:szCs w:val="26"/>
        </w:rPr>
        <w:t xml:space="preserve">2 349,2 </w:t>
      </w:r>
      <w:r w:rsidRPr="008124F3">
        <w:rPr>
          <w:sz w:val="28"/>
          <w:szCs w:val="26"/>
        </w:rPr>
        <w:t xml:space="preserve">млн. руб. Более чем в </w:t>
      </w:r>
      <w:r w:rsidR="00AB723B">
        <w:rPr>
          <w:sz w:val="28"/>
          <w:szCs w:val="26"/>
        </w:rPr>
        <w:t xml:space="preserve">2,4 </w:t>
      </w:r>
      <w:r w:rsidRPr="008124F3">
        <w:rPr>
          <w:sz w:val="28"/>
          <w:szCs w:val="26"/>
        </w:rPr>
        <w:t>раза произошло увеличение суммы кредитов под поручительство Фонда в 20</w:t>
      </w:r>
      <w:r w:rsidR="00654BEE">
        <w:rPr>
          <w:sz w:val="28"/>
          <w:szCs w:val="26"/>
        </w:rPr>
        <w:t>22</w:t>
      </w:r>
      <w:r w:rsidRPr="008124F3">
        <w:rPr>
          <w:sz w:val="28"/>
          <w:szCs w:val="26"/>
        </w:rPr>
        <w:t xml:space="preserve"> г. по сравнению с 20</w:t>
      </w:r>
      <w:r w:rsidR="00654BEE">
        <w:rPr>
          <w:sz w:val="28"/>
          <w:szCs w:val="26"/>
        </w:rPr>
        <w:t>20</w:t>
      </w:r>
      <w:r w:rsidRPr="008124F3">
        <w:rPr>
          <w:sz w:val="28"/>
          <w:szCs w:val="26"/>
        </w:rPr>
        <w:t xml:space="preserve"> г.   </w:t>
      </w:r>
    </w:p>
    <w:p w:rsidR="00F01C78" w:rsidRPr="00796149" w:rsidRDefault="00F01C78" w:rsidP="00F01C78">
      <w:pPr>
        <w:autoSpaceDE w:val="0"/>
        <w:autoSpaceDN w:val="0"/>
        <w:adjustRightInd w:val="0"/>
        <w:ind w:firstLine="708"/>
        <w:jc w:val="both"/>
        <w:rPr>
          <w:b/>
          <w:sz w:val="28"/>
          <w:szCs w:val="26"/>
        </w:rPr>
      </w:pPr>
      <w:r w:rsidRPr="00796149">
        <w:rPr>
          <w:b/>
          <w:sz w:val="28"/>
          <w:szCs w:val="26"/>
        </w:rPr>
        <w:t>Суммы кредитов, предоставленных под поручительство Фонда</w:t>
      </w:r>
      <w:r>
        <w:rPr>
          <w:b/>
          <w:sz w:val="28"/>
          <w:szCs w:val="26"/>
        </w:rPr>
        <w:t>, млн. руб.</w:t>
      </w:r>
      <w:r w:rsidRPr="00796149">
        <w:rPr>
          <w:b/>
          <w:sz w:val="28"/>
          <w:szCs w:val="26"/>
        </w:rPr>
        <w:t>:</w:t>
      </w:r>
    </w:p>
    <w:p w:rsidR="00F01C78" w:rsidRDefault="00AB723B" w:rsidP="00004FEA">
      <w:pPr>
        <w:autoSpaceDE w:val="0"/>
        <w:autoSpaceDN w:val="0"/>
        <w:adjustRightInd w:val="0"/>
        <w:ind w:firstLine="708"/>
        <w:jc w:val="center"/>
        <w:rPr>
          <w:sz w:val="26"/>
          <w:szCs w:val="26"/>
        </w:rPr>
      </w:pPr>
      <w:r>
        <w:rPr>
          <w:noProof/>
        </w:rPr>
        <w:drawing>
          <wp:inline distT="0" distB="0" distL="0" distR="0" wp14:anchorId="5D1676D4" wp14:editId="41D97B6E">
            <wp:extent cx="4703674" cy="2611526"/>
            <wp:effectExtent l="0" t="0" r="1905" b="0"/>
            <wp:docPr id="6" name="Диаграмма 6">
              <a:extLst xmlns:a="http://schemas.openxmlformats.org/drawingml/2006/main">
                <a:ext uri="{FF2B5EF4-FFF2-40B4-BE49-F238E27FC236}">
                  <a16:creationId xmlns:a16="http://schemas.microsoft.com/office/drawing/2014/main" id="{A71C24A1-636A-4488-AC31-AD3658AF6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1C78" w:rsidRPr="008124F3" w:rsidRDefault="00F01C78" w:rsidP="00F01C78">
      <w:pPr>
        <w:spacing w:before="120"/>
        <w:ind w:firstLine="709"/>
        <w:jc w:val="both"/>
        <w:rPr>
          <w:sz w:val="28"/>
          <w:szCs w:val="26"/>
        </w:rPr>
      </w:pPr>
      <w:r w:rsidRPr="008124F3">
        <w:rPr>
          <w:sz w:val="28"/>
          <w:szCs w:val="26"/>
        </w:rPr>
        <w:t xml:space="preserve">27,1% заемщиков, воспользовавшихся </w:t>
      </w:r>
      <w:r w:rsidR="00097020">
        <w:rPr>
          <w:sz w:val="28"/>
          <w:szCs w:val="26"/>
        </w:rPr>
        <w:t>за период</w:t>
      </w:r>
      <w:r w:rsidRPr="008124F3">
        <w:rPr>
          <w:sz w:val="28"/>
          <w:szCs w:val="26"/>
        </w:rPr>
        <w:t xml:space="preserve"> 20</w:t>
      </w:r>
      <w:r w:rsidR="00097020">
        <w:rPr>
          <w:sz w:val="28"/>
          <w:szCs w:val="26"/>
        </w:rPr>
        <w:t>20</w:t>
      </w:r>
      <w:r w:rsidRPr="008124F3">
        <w:rPr>
          <w:sz w:val="28"/>
          <w:szCs w:val="26"/>
        </w:rPr>
        <w:t>-20</w:t>
      </w:r>
      <w:r w:rsidR="000839B4">
        <w:rPr>
          <w:sz w:val="28"/>
          <w:szCs w:val="26"/>
        </w:rPr>
        <w:t>22</w:t>
      </w:r>
      <w:r w:rsidRPr="008124F3">
        <w:rPr>
          <w:sz w:val="28"/>
          <w:szCs w:val="26"/>
        </w:rPr>
        <w:t xml:space="preserve"> гг. финансовой поддержкой в форме предоставления поручительств, являются индивидуальными предпринимателями, 72,9% – юридические лица:</w:t>
      </w:r>
    </w:p>
    <w:p w:rsidR="00F01C78" w:rsidRPr="008124F3" w:rsidRDefault="00F01C78" w:rsidP="00F01C78">
      <w:pPr>
        <w:autoSpaceDE w:val="0"/>
        <w:autoSpaceDN w:val="0"/>
        <w:adjustRightInd w:val="0"/>
        <w:jc w:val="both"/>
        <w:rPr>
          <w:sz w:val="28"/>
          <w:szCs w:val="26"/>
        </w:rPr>
      </w:pPr>
    </w:p>
    <w:p w:rsidR="00F01C78" w:rsidRDefault="000839B4" w:rsidP="00004FEA">
      <w:pPr>
        <w:autoSpaceDE w:val="0"/>
        <w:autoSpaceDN w:val="0"/>
        <w:adjustRightInd w:val="0"/>
        <w:jc w:val="center"/>
        <w:rPr>
          <w:sz w:val="26"/>
          <w:szCs w:val="26"/>
        </w:rPr>
      </w:pPr>
      <w:r>
        <w:rPr>
          <w:noProof/>
        </w:rPr>
        <w:lastRenderedPageBreak/>
        <w:drawing>
          <wp:inline distT="0" distB="0" distL="0" distR="0" wp14:anchorId="738BABD4" wp14:editId="504BE62A">
            <wp:extent cx="6210605" cy="2743200"/>
            <wp:effectExtent l="0" t="0" r="0" b="0"/>
            <wp:docPr id="7" name="Диаграмма 7">
              <a:extLst xmlns:a="http://schemas.openxmlformats.org/drawingml/2006/main">
                <a:ext uri="{FF2B5EF4-FFF2-40B4-BE49-F238E27FC236}">
                  <a16:creationId xmlns:a16="http://schemas.microsoft.com/office/drawing/2014/main" id="{0C8DE1D4-D543-46B0-A6CD-B99039EF0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1C78" w:rsidRDefault="00F01C78" w:rsidP="00F01C78">
      <w:pPr>
        <w:autoSpaceDE w:val="0"/>
        <w:autoSpaceDN w:val="0"/>
        <w:adjustRightInd w:val="0"/>
        <w:jc w:val="both"/>
        <w:rPr>
          <w:sz w:val="26"/>
          <w:szCs w:val="26"/>
        </w:rPr>
      </w:pPr>
    </w:p>
    <w:p w:rsidR="00F01C78" w:rsidRPr="008124F3" w:rsidRDefault="00F01C78" w:rsidP="00F01C78">
      <w:pPr>
        <w:spacing w:before="120"/>
        <w:ind w:firstLine="708"/>
        <w:jc w:val="both"/>
        <w:rPr>
          <w:sz w:val="28"/>
          <w:szCs w:val="26"/>
        </w:rPr>
      </w:pPr>
      <w:r w:rsidRPr="008124F3">
        <w:rPr>
          <w:sz w:val="28"/>
          <w:szCs w:val="26"/>
        </w:rPr>
        <w:t>Предоставление поручительств субъектам малого и среднего предпринимательства с учетом их территориальной принадлежности отражено в Таблице 1.</w:t>
      </w:r>
    </w:p>
    <w:p w:rsidR="00F01C78" w:rsidRDefault="00F01C78" w:rsidP="00F01C78">
      <w:pPr>
        <w:spacing w:before="120"/>
        <w:ind w:firstLine="708"/>
        <w:jc w:val="right"/>
        <w:rPr>
          <w:sz w:val="26"/>
          <w:szCs w:val="26"/>
        </w:rPr>
      </w:pPr>
      <w:r>
        <w:rPr>
          <w:sz w:val="26"/>
          <w:szCs w:val="26"/>
        </w:rPr>
        <w:t>Таблица 1.</w:t>
      </w:r>
    </w:p>
    <w:tbl>
      <w:tblPr>
        <w:tblW w:w="9667" w:type="dxa"/>
        <w:tblInd w:w="-5" w:type="dxa"/>
        <w:tblLook w:val="04A0" w:firstRow="1" w:lastRow="0" w:firstColumn="1" w:lastColumn="0" w:noHBand="0" w:noVBand="1"/>
      </w:tblPr>
      <w:tblGrid>
        <w:gridCol w:w="3917"/>
        <w:gridCol w:w="1460"/>
        <w:gridCol w:w="1263"/>
        <w:gridCol w:w="1105"/>
        <w:gridCol w:w="1922"/>
      </w:tblGrid>
      <w:tr w:rsidR="00045A9F" w:rsidTr="00004FEA">
        <w:trPr>
          <w:trHeight w:val="559"/>
        </w:trPr>
        <w:tc>
          <w:tcPr>
            <w:tcW w:w="3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A9F" w:rsidRDefault="00045A9F">
            <w:pPr>
              <w:jc w:val="center"/>
              <w:rPr>
                <w:b/>
                <w:bCs/>
                <w:sz w:val="22"/>
                <w:szCs w:val="22"/>
              </w:rPr>
            </w:pPr>
            <w:r>
              <w:rPr>
                <w:b/>
                <w:bCs/>
                <w:sz w:val="22"/>
                <w:szCs w:val="22"/>
              </w:rPr>
              <w:t>Наименование муниципального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45A9F" w:rsidRDefault="00045A9F">
            <w:pPr>
              <w:jc w:val="center"/>
              <w:rPr>
                <w:b/>
                <w:bCs/>
                <w:sz w:val="22"/>
                <w:szCs w:val="22"/>
              </w:rPr>
            </w:pPr>
            <w:r>
              <w:rPr>
                <w:b/>
                <w:bCs/>
                <w:sz w:val="22"/>
                <w:szCs w:val="22"/>
              </w:rPr>
              <w:t>2020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45A9F" w:rsidRDefault="00045A9F">
            <w:pPr>
              <w:jc w:val="center"/>
              <w:rPr>
                <w:b/>
                <w:bCs/>
                <w:sz w:val="22"/>
                <w:szCs w:val="22"/>
              </w:rPr>
            </w:pPr>
            <w:r>
              <w:rPr>
                <w:b/>
                <w:bCs/>
                <w:sz w:val="22"/>
                <w:szCs w:val="22"/>
              </w:rPr>
              <w:t>2021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45A9F" w:rsidRDefault="00004FEA">
            <w:pPr>
              <w:jc w:val="center"/>
              <w:rPr>
                <w:b/>
                <w:bCs/>
                <w:sz w:val="22"/>
                <w:szCs w:val="22"/>
              </w:rPr>
            </w:pPr>
            <w:r>
              <w:rPr>
                <w:b/>
                <w:bCs/>
                <w:sz w:val="22"/>
                <w:szCs w:val="22"/>
              </w:rPr>
              <w:t xml:space="preserve">За 11 месяцев </w:t>
            </w:r>
            <w:r w:rsidR="00045A9F">
              <w:rPr>
                <w:b/>
                <w:bCs/>
                <w:sz w:val="22"/>
                <w:szCs w:val="22"/>
              </w:rPr>
              <w:t>2022</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2020-2022</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Абдулинский</w:t>
            </w:r>
            <w:proofErr w:type="spellEnd"/>
            <w:r>
              <w:rPr>
                <w:sz w:val="22"/>
                <w:szCs w:val="22"/>
              </w:rPr>
              <w:t xml:space="preserve"> ГО</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ГО Бугуруслан</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3</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ГО Бузулук</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3</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2</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Гайский ГО</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0</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045A9F" w:rsidRDefault="00045A9F">
            <w:pPr>
              <w:jc w:val="center"/>
              <w:rPr>
                <w:sz w:val="22"/>
                <w:szCs w:val="22"/>
              </w:rPr>
            </w:pPr>
            <w:proofErr w:type="spellStart"/>
            <w:r>
              <w:rPr>
                <w:sz w:val="22"/>
                <w:szCs w:val="22"/>
              </w:rPr>
              <w:t>Кувандыкский</w:t>
            </w:r>
            <w:proofErr w:type="spellEnd"/>
            <w:r>
              <w:rPr>
                <w:sz w:val="22"/>
                <w:szCs w:val="22"/>
              </w:rPr>
              <w:t xml:space="preserve"> ГО</w:t>
            </w:r>
          </w:p>
        </w:tc>
        <w:tc>
          <w:tcPr>
            <w:tcW w:w="1460"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color w:val="000000"/>
                <w:sz w:val="22"/>
                <w:szCs w:val="22"/>
              </w:rPr>
            </w:pPr>
            <w:r>
              <w:rPr>
                <w:color w:val="000000"/>
                <w:sz w:val="22"/>
                <w:szCs w:val="22"/>
              </w:rPr>
              <w:t>ГО Медногорск</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color w:val="000000"/>
                <w:sz w:val="22"/>
                <w:szCs w:val="22"/>
              </w:rPr>
            </w:pPr>
            <w:r>
              <w:rPr>
                <w:color w:val="000000"/>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color w:val="000000"/>
                <w:sz w:val="22"/>
                <w:szCs w:val="22"/>
              </w:rPr>
            </w:pPr>
            <w:r>
              <w:rPr>
                <w:color w:val="000000"/>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ГО Новотроицк</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4</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4</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ГО Оренбург</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15</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14</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77</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106</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ГО Орск</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5</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8</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Соль-</w:t>
            </w:r>
            <w:proofErr w:type="spellStart"/>
            <w:r>
              <w:rPr>
                <w:sz w:val="22"/>
                <w:szCs w:val="22"/>
              </w:rPr>
              <w:t>Илецкий</w:t>
            </w:r>
            <w:proofErr w:type="spellEnd"/>
            <w:r>
              <w:rPr>
                <w:sz w:val="22"/>
                <w:szCs w:val="22"/>
              </w:rPr>
              <w:t xml:space="preserve"> ГО</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0</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Сорочинский</w:t>
            </w:r>
            <w:proofErr w:type="spellEnd"/>
            <w:r>
              <w:rPr>
                <w:sz w:val="22"/>
                <w:szCs w:val="22"/>
              </w:rPr>
              <w:t xml:space="preserve"> ГО</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4</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4</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10</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Ясненский</w:t>
            </w:r>
            <w:proofErr w:type="spellEnd"/>
            <w:r>
              <w:rPr>
                <w:sz w:val="22"/>
                <w:szCs w:val="22"/>
              </w:rPr>
              <w:t xml:space="preserve"> ГО</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w:t>
            </w:r>
          </w:p>
        </w:tc>
      </w:tr>
      <w:tr w:rsidR="00045A9F" w:rsidTr="00004FEA">
        <w:trPr>
          <w:trHeight w:val="211"/>
        </w:trPr>
        <w:tc>
          <w:tcPr>
            <w:tcW w:w="9667"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045A9F" w:rsidRDefault="00045A9F">
            <w:pPr>
              <w:jc w:val="center"/>
              <w:rPr>
                <w:sz w:val="22"/>
                <w:szCs w:val="22"/>
              </w:rPr>
            </w:pPr>
            <w:r>
              <w:rPr>
                <w:sz w:val="22"/>
                <w:szCs w:val="22"/>
              </w:rPr>
              <w:t>Муниципальные районы</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Адамовский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3</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6</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Акбулакский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4</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4</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Александровский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5</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Асекеевский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Беляевский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0</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Бугурусланский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3</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4</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Бузулукский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3</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6</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Грачевский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5</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7</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Домбаровский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4</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Илекский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0</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Кваркенский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Красногвардейский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5</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8</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Курманаевский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5</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3</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8</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Матвеевский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Новоорский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2</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3</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Новосергиевский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lastRenderedPageBreak/>
              <w:t>Октябрьский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Оренбургский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4</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3</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4</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Первомайский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Переволоцкий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3</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4</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Пономаревский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2</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Сакмарский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1</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3</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Саракташский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2</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3</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Светлинский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1</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Северный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1</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Ташлинский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2</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3</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5</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Тоцкий</w:t>
            </w:r>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3</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6</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Тюльганский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1</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2</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3</w:t>
            </w:r>
          </w:p>
        </w:tc>
      </w:tr>
      <w:tr w:rsidR="00045A9F" w:rsidTr="00004FEA">
        <w:trPr>
          <w:trHeight w:val="211"/>
        </w:trPr>
        <w:tc>
          <w:tcPr>
            <w:tcW w:w="3917" w:type="dxa"/>
            <w:tcBorders>
              <w:top w:val="nil"/>
              <w:left w:val="single" w:sz="4" w:space="0" w:color="auto"/>
              <w:bottom w:val="single" w:sz="4" w:space="0" w:color="auto"/>
              <w:right w:val="single" w:sz="4" w:space="0" w:color="auto"/>
            </w:tcBorders>
            <w:shd w:val="clear" w:color="auto" w:fill="auto"/>
            <w:hideMark/>
          </w:tcPr>
          <w:p w:rsidR="00045A9F" w:rsidRDefault="00045A9F">
            <w:pPr>
              <w:jc w:val="center"/>
              <w:rPr>
                <w:sz w:val="22"/>
                <w:szCs w:val="22"/>
              </w:rPr>
            </w:pPr>
            <w:proofErr w:type="spellStart"/>
            <w:r>
              <w:rPr>
                <w:sz w:val="22"/>
                <w:szCs w:val="22"/>
              </w:rPr>
              <w:t>Шарлыкский</w:t>
            </w:r>
            <w:proofErr w:type="spellEnd"/>
          </w:p>
        </w:tc>
        <w:tc>
          <w:tcPr>
            <w:tcW w:w="1460" w:type="dxa"/>
            <w:tcBorders>
              <w:top w:val="nil"/>
              <w:left w:val="nil"/>
              <w:bottom w:val="single" w:sz="4" w:space="0" w:color="auto"/>
              <w:right w:val="single" w:sz="4" w:space="0" w:color="auto"/>
            </w:tcBorders>
            <w:shd w:val="clear" w:color="auto" w:fill="auto"/>
            <w:hideMark/>
          </w:tcPr>
          <w:p w:rsidR="00045A9F" w:rsidRDefault="00045A9F">
            <w:pPr>
              <w:jc w:val="center"/>
              <w:rPr>
                <w:sz w:val="22"/>
                <w:szCs w:val="22"/>
              </w:rPr>
            </w:pPr>
            <w:r>
              <w:rPr>
                <w:sz w:val="22"/>
                <w:szCs w:val="22"/>
              </w:rPr>
              <w:t>0</w:t>
            </w:r>
          </w:p>
        </w:tc>
        <w:tc>
          <w:tcPr>
            <w:tcW w:w="1263" w:type="dxa"/>
            <w:tcBorders>
              <w:top w:val="nil"/>
              <w:left w:val="nil"/>
              <w:bottom w:val="single" w:sz="4" w:space="0" w:color="auto"/>
              <w:right w:val="single" w:sz="4" w:space="0" w:color="auto"/>
            </w:tcBorders>
            <w:shd w:val="clear" w:color="auto" w:fill="auto"/>
            <w:vAlign w:val="bottom"/>
            <w:hideMark/>
          </w:tcPr>
          <w:p w:rsidR="00045A9F" w:rsidRDefault="00045A9F">
            <w:pPr>
              <w:jc w:val="center"/>
              <w:rPr>
                <w:sz w:val="22"/>
                <w:szCs w:val="22"/>
              </w:rPr>
            </w:pPr>
            <w:r>
              <w:rPr>
                <w:sz w:val="22"/>
                <w:szCs w:val="22"/>
              </w:rPr>
              <w:t>0</w:t>
            </w:r>
          </w:p>
        </w:tc>
        <w:tc>
          <w:tcPr>
            <w:tcW w:w="1105" w:type="dxa"/>
            <w:tcBorders>
              <w:top w:val="nil"/>
              <w:left w:val="nil"/>
              <w:bottom w:val="single" w:sz="4" w:space="0" w:color="auto"/>
              <w:right w:val="single" w:sz="4" w:space="0" w:color="auto"/>
            </w:tcBorders>
            <w:shd w:val="clear" w:color="auto" w:fill="auto"/>
            <w:vAlign w:val="bottom"/>
            <w:hideMark/>
          </w:tcPr>
          <w:p w:rsidR="00045A9F" w:rsidRPr="00004FEA" w:rsidRDefault="00045A9F">
            <w:pPr>
              <w:jc w:val="center"/>
              <w:rPr>
                <w:sz w:val="22"/>
                <w:szCs w:val="22"/>
              </w:rPr>
            </w:pPr>
            <w:r w:rsidRPr="00004FEA">
              <w:rPr>
                <w:sz w:val="22"/>
                <w:szCs w:val="22"/>
              </w:rPr>
              <w:t>0</w:t>
            </w:r>
          </w:p>
        </w:tc>
        <w:tc>
          <w:tcPr>
            <w:tcW w:w="1918" w:type="dxa"/>
            <w:tcBorders>
              <w:top w:val="nil"/>
              <w:left w:val="nil"/>
              <w:bottom w:val="single" w:sz="4" w:space="0" w:color="auto"/>
              <w:right w:val="single" w:sz="4" w:space="0" w:color="auto"/>
            </w:tcBorders>
            <w:shd w:val="clear" w:color="auto" w:fill="auto"/>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0</w:t>
            </w:r>
          </w:p>
        </w:tc>
      </w:tr>
      <w:tr w:rsidR="00EB4197" w:rsidTr="00EB4197">
        <w:trPr>
          <w:trHeight w:val="400"/>
        </w:trPr>
        <w:tc>
          <w:tcPr>
            <w:tcW w:w="3917" w:type="dxa"/>
            <w:tcBorders>
              <w:top w:val="nil"/>
              <w:left w:val="single" w:sz="4" w:space="0" w:color="auto"/>
              <w:bottom w:val="single" w:sz="4" w:space="0" w:color="auto"/>
              <w:right w:val="single" w:sz="4" w:space="0" w:color="auto"/>
            </w:tcBorders>
            <w:shd w:val="clear" w:color="000000" w:fill="D9D9D9"/>
            <w:vAlign w:val="center"/>
            <w:hideMark/>
          </w:tcPr>
          <w:p w:rsidR="00045A9F" w:rsidRDefault="00045A9F">
            <w:pPr>
              <w:jc w:val="center"/>
              <w:rPr>
                <w:b/>
                <w:bCs/>
                <w:sz w:val="22"/>
                <w:szCs w:val="22"/>
              </w:rPr>
            </w:pPr>
            <w:r>
              <w:rPr>
                <w:b/>
                <w:bCs/>
                <w:sz w:val="22"/>
                <w:szCs w:val="22"/>
              </w:rPr>
              <w:t>ИТОГО по Оренбургской области</w:t>
            </w:r>
          </w:p>
        </w:tc>
        <w:tc>
          <w:tcPr>
            <w:tcW w:w="1460" w:type="dxa"/>
            <w:tcBorders>
              <w:top w:val="nil"/>
              <w:left w:val="nil"/>
              <w:bottom w:val="single" w:sz="4" w:space="0" w:color="auto"/>
              <w:right w:val="single" w:sz="4" w:space="0" w:color="auto"/>
            </w:tcBorders>
            <w:shd w:val="clear" w:color="000000" w:fill="D9D9D9"/>
            <w:vAlign w:val="center"/>
            <w:hideMark/>
          </w:tcPr>
          <w:p w:rsidR="00045A9F" w:rsidRDefault="00045A9F">
            <w:pPr>
              <w:jc w:val="center"/>
              <w:rPr>
                <w:b/>
                <w:bCs/>
                <w:sz w:val="22"/>
                <w:szCs w:val="22"/>
              </w:rPr>
            </w:pPr>
            <w:r>
              <w:rPr>
                <w:b/>
                <w:bCs/>
                <w:sz w:val="22"/>
                <w:szCs w:val="22"/>
              </w:rPr>
              <w:t>56</w:t>
            </w:r>
          </w:p>
        </w:tc>
        <w:tc>
          <w:tcPr>
            <w:tcW w:w="1263" w:type="dxa"/>
            <w:tcBorders>
              <w:top w:val="nil"/>
              <w:left w:val="nil"/>
              <w:bottom w:val="single" w:sz="4" w:space="0" w:color="auto"/>
              <w:right w:val="single" w:sz="4" w:space="0" w:color="auto"/>
            </w:tcBorders>
            <w:shd w:val="clear" w:color="000000" w:fill="D9D9D9"/>
            <w:vAlign w:val="center"/>
            <w:hideMark/>
          </w:tcPr>
          <w:p w:rsidR="00045A9F" w:rsidRDefault="00045A9F">
            <w:pPr>
              <w:jc w:val="center"/>
              <w:rPr>
                <w:b/>
                <w:bCs/>
                <w:sz w:val="22"/>
                <w:szCs w:val="22"/>
              </w:rPr>
            </w:pPr>
            <w:r>
              <w:rPr>
                <w:b/>
                <w:bCs/>
                <w:sz w:val="22"/>
                <w:szCs w:val="22"/>
              </w:rPr>
              <w:t>56</w:t>
            </w:r>
          </w:p>
        </w:tc>
        <w:tc>
          <w:tcPr>
            <w:tcW w:w="1105" w:type="dxa"/>
            <w:tcBorders>
              <w:top w:val="nil"/>
              <w:left w:val="nil"/>
              <w:bottom w:val="single" w:sz="4" w:space="0" w:color="auto"/>
              <w:right w:val="single" w:sz="4" w:space="0" w:color="auto"/>
            </w:tcBorders>
            <w:shd w:val="clear" w:color="000000" w:fill="D9D9D9"/>
            <w:vAlign w:val="center"/>
            <w:hideMark/>
          </w:tcPr>
          <w:p w:rsidR="00045A9F" w:rsidRDefault="00045A9F">
            <w:pPr>
              <w:jc w:val="center"/>
              <w:rPr>
                <w:b/>
                <w:bCs/>
                <w:sz w:val="22"/>
                <w:szCs w:val="22"/>
              </w:rPr>
            </w:pPr>
            <w:r>
              <w:rPr>
                <w:b/>
                <w:bCs/>
                <w:sz w:val="22"/>
                <w:szCs w:val="22"/>
              </w:rPr>
              <w:t>156</w:t>
            </w:r>
          </w:p>
        </w:tc>
        <w:tc>
          <w:tcPr>
            <w:tcW w:w="1918" w:type="dxa"/>
            <w:tcBorders>
              <w:top w:val="nil"/>
              <w:left w:val="nil"/>
              <w:bottom w:val="single" w:sz="4" w:space="0" w:color="auto"/>
              <w:right w:val="single" w:sz="4" w:space="0" w:color="auto"/>
            </w:tcBorders>
            <w:shd w:val="clear" w:color="000000" w:fill="D9D9D9"/>
            <w:noWrap/>
            <w:vAlign w:val="center"/>
            <w:hideMark/>
          </w:tcPr>
          <w:p w:rsidR="00045A9F" w:rsidRDefault="00045A9F">
            <w:pPr>
              <w:jc w:val="center"/>
              <w:rPr>
                <w:rFonts w:ascii="Calibri" w:hAnsi="Calibri" w:cs="Calibri"/>
                <w:b/>
                <w:bCs/>
                <w:color w:val="000000"/>
                <w:sz w:val="22"/>
                <w:szCs w:val="22"/>
              </w:rPr>
            </w:pPr>
            <w:r>
              <w:rPr>
                <w:rFonts w:ascii="Calibri" w:hAnsi="Calibri" w:cs="Calibri"/>
                <w:b/>
                <w:bCs/>
                <w:color w:val="000000"/>
                <w:sz w:val="22"/>
                <w:szCs w:val="22"/>
              </w:rPr>
              <w:t>268</w:t>
            </w:r>
          </w:p>
        </w:tc>
      </w:tr>
    </w:tbl>
    <w:p w:rsidR="00F01C78" w:rsidRPr="008124F3" w:rsidRDefault="00F01C78" w:rsidP="00F01C78">
      <w:pPr>
        <w:spacing w:before="120"/>
        <w:ind w:firstLine="708"/>
        <w:jc w:val="both"/>
        <w:rPr>
          <w:sz w:val="28"/>
          <w:szCs w:val="28"/>
        </w:rPr>
      </w:pPr>
      <w:r w:rsidRPr="00AB7987">
        <w:rPr>
          <w:sz w:val="28"/>
          <w:szCs w:val="28"/>
        </w:rPr>
        <w:t>За анализируемый период основная доля предоставленных поручительств приходится на субъекты малого и среднего предпринимательства ГО Оренбург (</w:t>
      </w:r>
      <w:r w:rsidR="00EB4197" w:rsidRPr="00004FEA">
        <w:rPr>
          <w:sz w:val="28"/>
          <w:szCs w:val="28"/>
        </w:rPr>
        <w:t>39</w:t>
      </w:r>
      <w:r w:rsidRPr="00AB7987">
        <w:rPr>
          <w:sz w:val="28"/>
          <w:szCs w:val="28"/>
        </w:rPr>
        <w:t>,</w:t>
      </w:r>
      <w:r w:rsidR="00EB4197" w:rsidRPr="00004FEA">
        <w:rPr>
          <w:sz w:val="28"/>
          <w:szCs w:val="28"/>
        </w:rPr>
        <w:t>6</w:t>
      </w:r>
      <w:r w:rsidRPr="00AB7987">
        <w:rPr>
          <w:sz w:val="28"/>
          <w:szCs w:val="28"/>
        </w:rPr>
        <w:t xml:space="preserve"> % от общего количества поручительств), ГО </w:t>
      </w:r>
      <w:r w:rsidR="00EB4197" w:rsidRPr="00004FEA">
        <w:rPr>
          <w:sz w:val="28"/>
          <w:szCs w:val="28"/>
        </w:rPr>
        <w:t>Бузулук</w:t>
      </w:r>
      <w:r w:rsidR="00EB4197" w:rsidRPr="00AB7987">
        <w:rPr>
          <w:sz w:val="28"/>
          <w:szCs w:val="28"/>
        </w:rPr>
        <w:t xml:space="preserve"> </w:t>
      </w:r>
      <w:r w:rsidRPr="00AB7987">
        <w:rPr>
          <w:sz w:val="28"/>
          <w:szCs w:val="28"/>
        </w:rPr>
        <w:t>(</w:t>
      </w:r>
      <w:r w:rsidR="00EB4197" w:rsidRPr="00004FEA">
        <w:rPr>
          <w:sz w:val="28"/>
          <w:szCs w:val="28"/>
        </w:rPr>
        <w:t>5</w:t>
      </w:r>
      <w:r w:rsidRPr="00AB7987">
        <w:rPr>
          <w:sz w:val="28"/>
          <w:szCs w:val="28"/>
        </w:rPr>
        <w:t>,</w:t>
      </w:r>
      <w:r w:rsidR="00EB4197" w:rsidRPr="00004FEA">
        <w:rPr>
          <w:sz w:val="28"/>
          <w:szCs w:val="28"/>
        </w:rPr>
        <w:t>6</w:t>
      </w:r>
      <w:r w:rsidRPr="00AB7987">
        <w:rPr>
          <w:sz w:val="28"/>
          <w:szCs w:val="28"/>
        </w:rPr>
        <w:t xml:space="preserve"> % от общего количества поручительств), Оренбургского района (</w:t>
      </w:r>
      <w:r w:rsidR="00EB4197" w:rsidRPr="00004FEA">
        <w:rPr>
          <w:sz w:val="28"/>
          <w:szCs w:val="28"/>
        </w:rPr>
        <w:t>4</w:t>
      </w:r>
      <w:r w:rsidRPr="00AB7987">
        <w:rPr>
          <w:sz w:val="28"/>
          <w:szCs w:val="28"/>
        </w:rPr>
        <w:t>,</w:t>
      </w:r>
      <w:r w:rsidR="00EB4197" w:rsidRPr="00004FEA">
        <w:rPr>
          <w:sz w:val="28"/>
          <w:szCs w:val="28"/>
        </w:rPr>
        <w:t>1</w:t>
      </w:r>
      <w:r w:rsidRPr="00AB7987">
        <w:rPr>
          <w:sz w:val="28"/>
          <w:szCs w:val="28"/>
        </w:rPr>
        <w:t xml:space="preserve"> % от общего количества поручительств), </w:t>
      </w:r>
      <w:proofErr w:type="spellStart"/>
      <w:r w:rsidR="00EB4197" w:rsidRPr="00004FEA">
        <w:rPr>
          <w:sz w:val="28"/>
          <w:szCs w:val="28"/>
        </w:rPr>
        <w:t>Бузулукского</w:t>
      </w:r>
      <w:proofErr w:type="spellEnd"/>
      <w:r w:rsidR="00EB4197" w:rsidRPr="00004FEA">
        <w:rPr>
          <w:sz w:val="28"/>
          <w:szCs w:val="28"/>
        </w:rPr>
        <w:t xml:space="preserve"> района</w:t>
      </w:r>
      <w:r w:rsidRPr="00AB7987">
        <w:rPr>
          <w:sz w:val="28"/>
          <w:szCs w:val="28"/>
        </w:rPr>
        <w:t xml:space="preserve"> (</w:t>
      </w:r>
      <w:r w:rsidR="00EB4197" w:rsidRPr="00004FEA">
        <w:rPr>
          <w:sz w:val="28"/>
          <w:szCs w:val="28"/>
        </w:rPr>
        <w:t>4</w:t>
      </w:r>
      <w:r w:rsidRPr="00AB7987">
        <w:rPr>
          <w:sz w:val="28"/>
          <w:szCs w:val="28"/>
        </w:rPr>
        <w:t>,</w:t>
      </w:r>
      <w:r w:rsidR="00EB4197" w:rsidRPr="00004FEA">
        <w:rPr>
          <w:sz w:val="28"/>
          <w:szCs w:val="28"/>
        </w:rPr>
        <w:t>1</w:t>
      </w:r>
      <w:r w:rsidRPr="00AB7987">
        <w:rPr>
          <w:sz w:val="28"/>
          <w:szCs w:val="28"/>
        </w:rPr>
        <w:t xml:space="preserve"> % от общего количества поручительств.</w:t>
      </w:r>
      <w:r w:rsidR="00AB7987" w:rsidRPr="00004FEA">
        <w:rPr>
          <w:sz w:val="28"/>
          <w:szCs w:val="28"/>
        </w:rPr>
        <w:t xml:space="preserve"> </w:t>
      </w:r>
      <w:r w:rsidRPr="00AB7987">
        <w:rPr>
          <w:sz w:val="28"/>
          <w:szCs w:val="28"/>
        </w:rPr>
        <w:t xml:space="preserve">На протяжении </w:t>
      </w:r>
      <w:r w:rsidR="00AB7987" w:rsidRPr="00AB7987">
        <w:rPr>
          <w:sz w:val="28"/>
          <w:szCs w:val="28"/>
        </w:rPr>
        <w:t xml:space="preserve">с </w:t>
      </w:r>
      <w:r w:rsidRPr="00AB7987">
        <w:rPr>
          <w:sz w:val="28"/>
          <w:szCs w:val="28"/>
        </w:rPr>
        <w:t>20</w:t>
      </w:r>
      <w:r w:rsidR="00654BEE" w:rsidRPr="00AB7987">
        <w:rPr>
          <w:sz w:val="28"/>
          <w:szCs w:val="28"/>
        </w:rPr>
        <w:t>20</w:t>
      </w:r>
      <w:r w:rsidR="00004FEA">
        <w:rPr>
          <w:sz w:val="28"/>
          <w:szCs w:val="28"/>
        </w:rPr>
        <w:t xml:space="preserve"> </w:t>
      </w:r>
      <w:r w:rsidR="00AB7987" w:rsidRPr="00AB7987">
        <w:rPr>
          <w:sz w:val="28"/>
          <w:szCs w:val="28"/>
        </w:rPr>
        <w:t xml:space="preserve">по 01 декабря </w:t>
      </w:r>
      <w:r w:rsidRPr="00AB7987">
        <w:rPr>
          <w:sz w:val="28"/>
          <w:szCs w:val="28"/>
        </w:rPr>
        <w:t>20</w:t>
      </w:r>
      <w:r w:rsidR="00654BEE" w:rsidRPr="00AB7987">
        <w:rPr>
          <w:sz w:val="28"/>
          <w:szCs w:val="28"/>
        </w:rPr>
        <w:t>22</w:t>
      </w:r>
      <w:r w:rsidRPr="00AB7987">
        <w:rPr>
          <w:sz w:val="28"/>
          <w:szCs w:val="28"/>
        </w:rPr>
        <w:t xml:space="preserve"> гг. по программе предоставления поручительств не оказана поддержка в отношении СМСП </w:t>
      </w:r>
      <w:r w:rsidRPr="00AB7987">
        <w:rPr>
          <w:bCs/>
          <w:color w:val="000000"/>
          <w:sz w:val="28"/>
          <w:szCs w:val="28"/>
        </w:rPr>
        <w:t>Гайского ГО,</w:t>
      </w:r>
      <w:r w:rsidRPr="00AB7987">
        <w:rPr>
          <w:bCs/>
          <w:sz w:val="28"/>
          <w:szCs w:val="28"/>
        </w:rPr>
        <w:t xml:space="preserve"> </w:t>
      </w:r>
      <w:r w:rsidRPr="00AB7987">
        <w:rPr>
          <w:bCs/>
          <w:color w:val="000000"/>
          <w:sz w:val="28"/>
          <w:szCs w:val="28"/>
        </w:rPr>
        <w:t>Соль-</w:t>
      </w:r>
      <w:proofErr w:type="spellStart"/>
      <w:r w:rsidRPr="00AB7987">
        <w:rPr>
          <w:bCs/>
          <w:color w:val="000000"/>
          <w:sz w:val="28"/>
          <w:szCs w:val="28"/>
        </w:rPr>
        <w:t>Илецкого</w:t>
      </w:r>
      <w:proofErr w:type="spellEnd"/>
      <w:r w:rsidRPr="00AB7987">
        <w:rPr>
          <w:bCs/>
          <w:color w:val="000000"/>
          <w:sz w:val="28"/>
          <w:szCs w:val="28"/>
        </w:rPr>
        <w:t xml:space="preserve"> ГО, а также следующих муниципальных районов: </w:t>
      </w:r>
      <w:proofErr w:type="spellStart"/>
      <w:r w:rsidRPr="00AB7987">
        <w:rPr>
          <w:bCs/>
          <w:color w:val="000000"/>
          <w:sz w:val="28"/>
          <w:szCs w:val="28"/>
        </w:rPr>
        <w:t>Беляевского</w:t>
      </w:r>
      <w:proofErr w:type="spellEnd"/>
      <w:r w:rsidRPr="00AB7987">
        <w:rPr>
          <w:bCs/>
          <w:color w:val="000000"/>
          <w:sz w:val="28"/>
          <w:szCs w:val="28"/>
        </w:rPr>
        <w:t xml:space="preserve">, </w:t>
      </w:r>
      <w:proofErr w:type="spellStart"/>
      <w:r w:rsidRPr="00AB7987">
        <w:rPr>
          <w:bCs/>
          <w:color w:val="000000"/>
          <w:sz w:val="28"/>
          <w:szCs w:val="28"/>
        </w:rPr>
        <w:t>Илекского</w:t>
      </w:r>
      <w:proofErr w:type="spellEnd"/>
      <w:r w:rsidRPr="00AB7987">
        <w:rPr>
          <w:bCs/>
          <w:color w:val="000000"/>
          <w:sz w:val="28"/>
          <w:szCs w:val="28"/>
        </w:rPr>
        <w:t xml:space="preserve">, </w:t>
      </w:r>
      <w:proofErr w:type="spellStart"/>
      <w:r w:rsidR="00AB7987" w:rsidRPr="00004FEA">
        <w:rPr>
          <w:bCs/>
          <w:color w:val="000000"/>
          <w:sz w:val="28"/>
          <w:szCs w:val="28"/>
        </w:rPr>
        <w:t>Шарлыкского</w:t>
      </w:r>
      <w:proofErr w:type="spellEnd"/>
      <w:r w:rsidRPr="00AB7987">
        <w:rPr>
          <w:bCs/>
          <w:color w:val="000000"/>
          <w:sz w:val="28"/>
          <w:szCs w:val="28"/>
        </w:rPr>
        <w:t>.</w:t>
      </w:r>
    </w:p>
    <w:p w:rsidR="00F01C78" w:rsidRPr="008124F3" w:rsidRDefault="00F01C78" w:rsidP="00F01C78">
      <w:pPr>
        <w:spacing w:before="120"/>
        <w:ind w:firstLine="708"/>
        <w:jc w:val="both"/>
        <w:rPr>
          <w:sz w:val="28"/>
          <w:szCs w:val="26"/>
        </w:rPr>
      </w:pPr>
      <w:r w:rsidRPr="008124F3">
        <w:rPr>
          <w:sz w:val="28"/>
          <w:szCs w:val="26"/>
        </w:rPr>
        <w:t xml:space="preserve">Средний размер поручительства Фонда за период </w:t>
      </w:r>
      <w:r w:rsidR="000839B4">
        <w:rPr>
          <w:sz w:val="28"/>
          <w:szCs w:val="26"/>
        </w:rPr>
        <w:t xml:space="preserve">с </w:t>
      </w:r>
      <w:r w:rsidRPr="008124F3">
        <w:rPr>
          <w:sz w:val="28"/>
          <w:szCs w:val="26"/>
        </w:rPr>
        <w:t>20</w:t>
      </w:r>
      <w:r w:rsidR="00654BEE">
        <w:rPr>
          <w:sz w:val="28"/>
          <w:szCs w:val="26"/>
        </w:rPr>
        <w:t>20</w:t>
      </w:r>
      <w:r w:rsidR="000839B4">
        <w:rPr>
          <w:sz w:val="28"/>
          <w:szCs w:val="26"/>
        </w:rPr>
        <w:t xml:space="preserve"> по </w:t>
      </w:r>
      <w:r w:rsidR="00F243BD">
        <w:rPr>
          <w:sz w:val="28"/>
          <w:szCs w:val="26"/>
        </w:rPr>
        <w:t>0</w:t>
      </w:r>
      <w:r w:rsidR="000839B4">
        <w:rPr>
          <w:sz w:val="28"/>
          <w:szCs w:val="26"/>
        </w:rPr>
        <w:t>1</w:t>
      </w:r>
      <w:r w:rsidR="00F243BD">
        <w:rPr>
          <w:sz w:val="28"/>
          <w:szCs w:val="26"/>
        </w:rPr>
        <w:t>.12.</w:t>
      </w:r>
      <w:r w:rsidRPr="008124F3">
        <w:rPr>
          <w:sz w:val="28"/>
          <w:szCs w:val="26"/>
        </w:rPr>
        <w:t>20</w:t>
      </w:r>
      <w:r w:rsidR="00654BEE">
        <w:rPr>
          <w:sz w:val="28"/>
          <w:szCs w:val="26"/>
        </w:rPr>
        <w:t>22</w:t>
      </w:r>
      <w:r w:rsidRPr="008124F3">
        <w:rPr>
          <w:sz w:val="28"/>
          <w:szCs w:val="26"/>
        </w:rPr>
        <w:t xml:space="preserve"> гг. составил </w:t>
      </w:r>
      <w:r w:rsidR="000839B4">
        <w:rPr>
          <w:sz w:val="28"/>
          <w:szCs w:val="26"/>
        </w:rPr>
        <w:t>6,</w:t>
      </w:r>
      <w:r w:rsidR="00C06B6D">
        <w:rPr>
          <w:sz w:val="28"/>
          <w:szCs w:val="26"/>
        </w:rPr>
        <w:t>5</w:t>
      </w:r>
      <w:r w:rsidR="000839B4">
        <w:rPr>
          <w:sz w:val="28"/>
          <w:szCs w:val="26"/>
        </w:rPr>
        <w:t xml:space="preserve"> </w:t>
      </w:r>
      <w:r w:rsidRPr="008124F3">
        <w:rPr>
          <w:sz w:val="28"/>
          <w:szCs w:val="26"/>
        </w:rPr>
        <w:t xml:space="preserve">млн. руб., средний размер кредита, предоставленный под поручительство Фонда, за аналогичный период – </w:t>
      </w:r>
      <w:r w:rsidR="000839B4">
        <w:rPr>
          <w:sz w:val="28"/>
          <w:szCs w:val="26"/>
        </w:rPr>
        <w:t>15,</w:t>
      </w:r>
      <w:r w:rsidR="00C06B6D">
        <w:rPr>
          <w:sz w:val="28"/>
          <w:szCs w:val="26"/>
        </w:rPr>
        <w:t>5</w:t>
      </w:r>
      <w:r w:rsidRPr="008124F3">
        <w:rPr>
          <w:sz w:val="28"/>
          <w:szCs w:val="26"/>
        </w:rPr>
        <w:t xml:space="preserve"> млн. руб.</w:t>
      </w:r>
    </w:p>
    <w:p w:rsidR="00F01C78" w:rsidRPr="008124F3" w:rsidRDefault="00F01C78" w:rsidP="00F01C78">
      <w:pPr>
        <w:autoSpaceDE w:val="0"/>
        <w:autoSpaceDN w:val="0"/>
        <w:adjustRightInd w:val="0"/>
        <w:jc w:val="both"/>
        <w:rPr>
          <w:sz w:val="28"/>
          <w:szCs w:val="26"/>
        </w:rPr>
      </w:pPr>
      <w:r w:rsidRPr="008124F3">
        <w:rPr>
          <w:sz w:val="28"/>
          <w:szCs w:val="26"/>
        </w:rPr>
        <w:tab/>
        <w:t>Динамика средних размеров поручительств и кредитов, предоставленных под поручительство Фонда, представлена в Таблице 2.</w:t>
      </w:r>
    </w:p>
    <w:p w:rsidR="00F01C78" w:rsidRDefault="00F01C78" w:rsidP="00F01C78">
      <w:pPr>
        <w:autoSpaceDE w:val="0"/>
        <w:autoSpaceDN w:val="0"/>
        <w:adjustRightInd w:val="0"/>
        <w:jc w:val="right"/>
        <w:rPr>
          <w:sz w:val="26"/>
          <w:szCs w:val="26"/>
        </w:rPr>
      </w:pPr>
      <w:r>
        <w:rPr>
          <w:sz w:val="26"/>
          <w:szCs w:val="26"/>
        </w:rPr>
        <w:t>Таблица 2.</w:t>
      </w:r>
    </w:p>
    <w:tbl>
      <w:tblPr>
        <w:tblStyle w:val="ac"/>
        <w:tblW w:w="0" w:type="auto"/>
        <w:tblLook w:val="04A0" w:firstRow="1" w:lastRow="0" w:firstColumn="1" w:lastColumn="0" w:noHBand="0" w:noVBand="1"/>
      </w:tblPr>
      <w:tblGrid>
        <w:gridCol w:w="4860"/>
        <w:gridCol w:w="973"/>
        <w:gridCol w:w="973"/>
        <w:gridCol w:w="1109"/>
        <w:gridCol w:w="1883"/>
      </w:tblGrid>
      <w:tr w:rsidR="00F01C78" w:rsidTr="005C45B1">
        <w:tc>
          <w:tcPr>
            <w:tcW w:w="5070" w:type="dxa"/>
            <w:vAlign w:val="center"/>
          </w:tcPr>
          <w:p w:rsidR="00F01C78" w:rsidRDefault="00F01C78" w:rsidP="005C45B1">
            <w:pPr>
              <w:autoSpaceDE w:val="0"/>
              <w:autoSpaceDN w:val="0"/>
              <w:adjustRightInd w:val="0"/>
              <w:jc w:val="center"/>
              <w:rPr>
                <w:sz w:val="26"/>
                <w:szCs w:val="26"/>
              </w:rPr>
            </w:pPr>
            <w:r>
              <w:rPr>
                <w:sz w:val="26"/>
                <w:szCs w:val="26"/>
              </w:rPr>
              <w:t>Показатель</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20</w:t>
            </w:r>
            <w:r w:rsidR="00654BEE">
              <w:rPr>
                <w:sz w:val="26"/>
                <w:szCs w:val="26"/>
              </w:rPr>
              <w:t>20</w:t>
            </w:r>
            <w:r>
              <w:rPr>
                <w:sz w:val="26"/>
                <w:szCs w:val="26"/>
              </w:rPr>
              <w:t xml:space="preserve"> г.</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20</w:t>
            </w:r>
            <w:r w:rsidR="00654BEE">
              <w:rPr>
                <w:sz w:val="26"/>
                <w:szCs w:val="26"/>
              </w:rPr>
              <w:t>21</w:t>
            </w:r>
            <w:r>
              <w:rPr>
                <w:sz w:val="26"/>
                <w:szCs w:val="26"/>
              </w:rPr>
              <w:t xml:space="preserve"> г.</w:t>
            </w:r>
          </w:p>
        </w:tc>
        <w:tc>
          <w:tcPr>
            <w:tcW w:w="1004" w:type="dxa"/>
            <w:vAlign w:val="center"/>
          </w:tcPr>
          <w:p w:rsidR="00004FEA" w:rsidRDefault="00004FEA" w:rsidP="005C45B1">
            <w:pPr>
              <w:autoSpaceDE w:val="0"/>
              <w:autoSpaceDN w:val="0"/>
              <w:adjustRightInd w:val="0"/>
              <w:jc w:val="center"/>
              <w:rPr>
                <w:sz w:val="26"/>
                <w:szCs w:val="26"/>
              </w:rPr>
            </w:pPr>
            <w:r>
              <w:rPr>
                <w:sz w:val="26"/>
                <w:szCs w:val="26"/>
              </w:rPr>
              <w:t>За 11 месяцев</w:t>
            </w:r>
          </w:p>
          <w:p w:rsidR="00F01C78" w:rsidRDefault="00F01C78" w:rsidP="005C45B1">
            <w:pPr>
              <w:autoSpaceDE w:val="0"/>
              <w:autoSpaceDN w:val="0"/>
              <w:adjustRightInd w:val="0"/>
              <w:jc w:val="center"/>
              <w:rPr>
                <w:sz w:val="26"/>
                <w:szCs w:val="26"/>
              </w:rPr>
            </w:pPr>
            <w:r>
              <w:rPr>
                <w:sz w:val="26"/>
                <w:szCs w:val="26"/>
              </w:rPr>
              <w:t>20</w:t>
            </w:r>
            <w:r w:rsidR="00654BEE">
              <w:rPr>
                <w:sz w:val="26"/>
                <w:szCs w:val="26"/>
              </w:rPr>
              <w:t>22</w:t>
            </w:r>
            <w:r>
              <w:rPr>
                <w:sz w:val="26"/>
                <w:szCs w:val="26"/>
              </w:rPr>
              <w:t xml:space="preserve"> г.</w:t>
            </w:r>
          </w:p>
        </w:tc>
        <w:tc>
          <w:tcPr>
            <w:tcW w:w="1966" w:type="dxa"/>
            <w:vAlign w:val="center"/>
          </w:tcPr>
          <w:p w:rsidR="00F01C78" w:rsidRDefault="00C06B6D" w:rsidP="005C45B1">
            <w:pPr>
              <w:autoSpaceDE w:val="0"/>
              <w:autoSpaceDN w:val="0"/>
              <w:adjustRightInd w:val="0"/>
              <w:jc w:val="center"/>
              <w:rPr>
                <w:sz w:val="26"/>
                <w:szCs w:val="26"/>
              </w:rPr>
            </w:pPr>
            <w:r>
              <w:rPr>
                <w:sz w:val="26"/>
                <w:szCs w:val="26"/>
              </w:rPr>
              <w:t>2020-</w:t>
            </w:r>
            <w:r w:rsidR="00F01C78">
              <w:rPr>
                <w:sz w:val="26"/>
                <w:szCs w:val="26"/>
              </w:rPr>
              <w:t>20</w:t>
            </w:r>
            <w:r w:rsidR="00654BEE">
              <w:rPr>
                <w:sz w:val="26"/>
                <w:szCs w:val="26"/>
              </w:rPr>
              <w:t>22</w:t>
            </w:r>
            <w:r w:rsidR="00F01C78">
              <w:rPr>
                <w:sz w:val="26"/>
                <w:szCs w:val="26"/>
              </w:rPr>
              <w:t xml:space="preserve"> гг.</w:t>
            </w:r>
          </w:p>
        </w:tc>
      </w:tr>
      <w:tr w:rsidR="00F01C78" w:rsidTr="005C45B1">
        <w:tc>
          <w:tcPr>
            <w:tcW w:w="5070" w:type="dxa"/>
          </w:tcPr>
          <w:p w:rsidR="00F01C78" w:rsidRDefault="00F01C78" w:rsidP="005C45B1">
            <w:pPr>
              <w:autoSpaceDE w:val="0"/>
              <w:autoSpaceDN w:val="0"/>
              <w:adjustRightInd w:val="0"/>
              <w:jc w:val="both"/>
              <w:rPr>
                <w:sz w:val="26"/>
                <w:szCs w:val="26"/>
              </w:rPr>
            </w:pPr>
            <w:r>
              <w:rPr>
                <w:sz w:val="26"/>
                <w:szCs w:val="26"/>
              </w:rPr>
              <w:t>Средний размер поручительства Фонда, млн. руб.</w:t>
            </w:r>
          </w:p>
        </w:tc>
        <w:tc>
          <w:tcPr>
            <w:tcW w:w="992" w:type="dxa"/>
            <w:vAlign w:val="center"/>
          </w:tcPr>
          <w:p w:rsidR="00F01C78" w:rsidRDefault="00C06B6D" w:rsidP="005C45B1">
            <w:pPr>
              <w:autoSpaceDE w:val="0"/>
              <w:autoSpaceDN w:val="0"/>
              <w:adjustRightInd w:val="0"/>
              <w:jc w:val="center"/>
              <w:rPr>
                <w:sz w:val="26"/>
                <w:szCs w:val="26"/>
              </w:rPr>
            </w:pPr>
            <w:r>
              <w:rPr>
                <w:sz w:val="26"/>
                <w:szCs w:val="26"/>
              </w:rPr>
              <w:t>6</w:t>
            </w:r>
            <w:r w:rsidR="00F01C78">
              <w:rPr>
                <w:sz w:val="26"/>
                <w:szCs w:val="26"/>
              </w:rPr>
              <w:t>,</w:t>
            </w:r>
            <w:r>
              <w:rPr>
                <w:sz w:val="26"/>
                <w:szCs w:val="26"/>
              </w:rPr>
              <w:t>2</w:t>
            </w:r>
          </w:p>
        </w:tc>
        <w:tc>
          <w:tcPr>
            <w:tcW w:w="992" w:type="dxa"/>
            <w:vAlign w:val="center"/>
          </w:tcPr>
          <w:p w:rsidR="00F01C78" w:rsidRDefault="00C06B6D" w:rsidP="005C45B1">
            <w:pPr>
              <w:autoSpaceDE w:val="0"/>
              <w:autoSpaceDN w:val="0"/>
              <w:adjustRightInd w:val="0"/>
              <w:jc w:val="center"/>
              <w:rPr>
                <w:sz w:val="26"/>
                <w:szCs w:val="26"/>
              </w:rPr>
            </w:pPr>
            <w:r>
              <w:rPr>
                <w:sz w:val="26"/>
                <w:szCs w:val="26"/>
              </w:rPr>
              <w:t>6</w:t>
            </w:r>
            <w:r w:rsidR="00F01C78">
              <w:rPr>
                <w:sz w:val="26"/>
                <w:szCs w:val="26"/>
              </w:rPr>
              <w:t>,</w:t>
            </w:r>
            <w:r>
              <w:rPr>
                <w:sz w:val="26"/>
                <w:szCs w:val="26"/>
              </w:rPr>
              <w:t>3</w:t>
            </w:r>
          </w:p>
        </w:tc>
        <w:tc>
          <w:tcPr>
            <w:tcW w:w="1004" w:type="dxa"/>
            <w:vAlign w:val="center"/>
          </w:tcPr>
          <w:p w:rsidR="00F01C78" w:rsidRDefault="00F01C78" w:rsidP="005C45B1">
            <w:pPr>
              <w:autoSpaceDE w:val="0"/>
              <w:autoSpaceDN w:val="0"/>
              <w:adjustRightInd w:val="0"/>
              <w:jc w:val="center"/>
              <w:rPr>
                <w:sz w:val="26"/>
                <w:szCs w:val="26"/>
              </w:rPr>
            </w:pPr>
            <w:r>
              <w:rPr>
                <w:sz w:val="26"/>
                <w:szCs w:val="26"/>
              </w:rPr>
              <w:t>7,</w:t>
            </w:r>
            <w:r w:rsidR="00C06B6D">
              <w:rPr>
                <w:sz w:val="26"/>
                <w:szCs w:val="26"/>
              </w:rPr>
              <w:t>1</w:t>
            </w:r>
          </w:p>
        </w:tc>
        <w:tc>
          <w:tcPr>
            <w:tcW w:w="1966" w:type="dxa"/>
            <w:vAlign w:val="center"/>
          </w:tcPr>
          <w:p w:rsidR="00F01C78" w:rsidRDefault="00C06B6D" w:rsidP="005C45B1">
            <w:pPr>
              <w:autoSpaceDE w:val="0"/>
              <w:autoSpaceDN w:val="0"/>
              <w:adjustRightInd w:val="0"/>
              <w:jc w:val="center"/>
              <w:rPr>
                <w:sz w:val="26"/>
                <w:szCs w:val="26"/>
              </w:rPr>
            </w:pPr>
            <w:r>
              <w:rPr>
                <w:sz w:val="26"/>
                <w:szCs w:val="26"/>
              </w:rPr>
              <w:t>6</w:t>
            </w:r>
            <w:r w:rsidR="00F01C78">
              <w:rPr>
                <w:sz w:val="26"/>
                <w:szCs w:val="26"/>
              </w:rPr>
              <w:t>,</w:t>
            </w:r>
            <w:r>
              <w:rPr>
                <w:sz w:val="26"/>
                <w:szCs w:val="26"/>
              </w:rPr>
              <w:t>5</w:t>
            </w:r>
          </w:p>
        </w:tc>
      </w:tr>
      <w:tr w:rsidR="00F01C78" w:rsidTr="005C45B1">
        <w:tc>
          <w:tcPr>
            <w:tcW w:w="5070" w:type="dxa"/>
          </w:tcPr>
          <w:p w:rsidR="00F01C78" w:rsidRDefault="00F01C78" w:rsidP="005C45B1">
            <w:pPr>
              <w:autoSpaceDE w:val="0"/>
              <w:autoSpaceDN w:val="0"/>
              <w:adjustRightInd w:val="0"/>
              <w:jc w:val="both"/>
              <w:rPr>
                <w:sz w:val="26"/>
                <w:szCs w:val="26"/>
              </w:rPr>
            </w:pPr>
            <w:r>
              <w:rPr>
                <w:sz w:val="26"/>
                <w:szCs w:val="26"/>
              </w:rPr>
              <w:t>Средний размер кредит, предоставленный под поручительство Фонда, млн. руб.</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1</w:t>
            </w:r>
            <w:r w:rsidR="000839B4">
              <w:rPr>
                <w:sz w:val="26"/>
                <w:szCs w:val="26"/>
              </w:rPr>
              <w:t>7</w:t>
            </w:r>
            <w:r>
              <w:rPr>
                <w:sz w:val="26"/>
                <w:szCs w:val="26"/>
              </w:rPr>
              <w:t>,</w:t>
            </w:r>
            <w:r w:rsidR="000839B4">
              <w:rPr>
                <w:sz w:val="26"/>
                <w:szCs w:val="26"/>
              </w:rPr>
              <w:t>5</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1</w:t>
            </w:r>
            <w:r w:rsidR="00D40E5A">
              <w:rPr>
                <w:sz w:val="26"/>
                <w:szCs w:val="26"/>
              </w:rPr>
              <w:t>3</w:t>
            </w:r>
            <w:r>
              <w:rPr>
                <w:sz w:val="26"/>
                <w:szCs w:val="26"/>
              </w:rPr>
              <w:t>,</w:t>
            </w:r>
            <w:r w:rsidR="00D40E5A">
              <w:rPr>
                <w:sz w:val="26"/>
                <w:szCs w:val="26"/>
              </w:rPr>
              <w:t>9</w:t>
            </w:r>
          </w:p>
        </w:tc>
        <w:tc>
          <w:tcPr>
            <w:tcW w:w="1004" w:type="dxa"/>
            <w:vAlign w:val="center"/>
          </w:tcPr>
          <w:p w:rsidR="00F01C78" w:rsidRDefault="00F01C78" w:rsidP="005C45B1">
            <w:pPr>
              <w:autoSpaceDE w:val="0"/>
              <w:autoSpaceDN w:val="0"/>
              <w:adjustRightInd w:val="0"/>
              <w:jc w:val="center"/>
              <w:rPr>
                <w:sz w:val="26"/>
                <w:szCs w:val="26"/>
              </w:rPr>
            </w:pPr>
            <w:r>
              <w:rPr>
                <w:sz w:val="26"/>
                <w:szCs w:val="26"/>
              </w:rPr>
              <w:t>1</w:t>
            </w:r>
            <w:r w:rsidR="00C06B6D">
              <w:rPr>
                <w:sz w:val="26"/>
                <w:szCs w:val="26"/>
              </w:rPr>
              <w:t>5</w:t>
            </w:r>
            <w:r>
              <w:rPr>
                <w:sz w:val="26"/>
                <w:szCs w:val="26"/>
              </w:rPr>
              <w:t>,</w:t>
            </w:r>
            <w:r w:rsidR="00C06B6D">
              <w:rPr>
                <w:sz w:val="26"/>
                <w:szCs w:val="26"/>
              </w:rPr>
              <w:t>1</w:t>
            </w:r>
          </w:p>
        </w:tc>
        <w:tc>
          <w:tcPr>
            <w:tcW w:w="1966" w:type="dxa"/>
            <w:vAlign w:val="center"/>
          </w:tcPr>
          <w:p w:rsidR="00F01C78" w:rsidRDefault="00F01C78" w:rsidP="005C45B1">
            <w:pPr>
              <w:autoSpaceDE w:val="0"/>
              <w:autoSpaceDN w:val="0"/>
              <w:adjustRightInd w:val="0"/>
              <w:jc w:val="center"/>
              <w:rPr>
                <w:sz w:val="26"/>
                <w:szCs w:val="26"/>
              </w:rPr>
            </w:pPr>
            <w:r>
              <w:rPr>
                <w:sz w:val="26"/>
                <w:szCs w:val="26"/>
              </w:rPr>
              <w:t>1</w:t>
            </w:r>
            <w:r w:rsidR="00C06B6D">
              <w:rPr>
                <w:sz w:val="26"/>
                <w:szCs w:val="26"/>
              </w:rPr>
              <w:t>5</w:t>
            </w:r>
            <w:r>
              <w:rPr>
                <w:sz w:val="26"/>
                <w:szCs w:val="26"/>
              </w:rPr>
              <w:t>,</w:t>
            </w:r>
            <w:r w:rsidR="00C06B6D">
              <w:rPr>
                <w:sz w:val="26"/>
                <w:szCs w:val="26"/>
              </w:rPr>
              <w:t>5</w:t>
            </w:r>
          </w:p>
        </w:tc>
      </w:tr>
    </w:tbl>
    <w:p w:rsidR="00F01C78" w:rsidRDefault="00F01C78" w:rsidP="00F01C78">
      <w:pPr>
        <w:autoSpaceDE w:val="0"/>
        <w:autoSpaceDN w:val="0"/>
        <w:adjustRightInd w:val="0"/>
        <w:jc w:val="both"/>
        <w:rPr>
          <w:sz w:val="26"/>
          <w:szCs w:val="26"/>
        </w:rPr>
      </w:pPr>
      <w:r>
        <w:rPr>
          <w:sz w:val="26"/>
          <w:szCs w:val="26"/>
        </w:rPr>
        <w:tab/>
      </w:r>
    </w:p>
    <w:p w:rsidR="00F01C78" w:rsidRPr="008124F3" w:rsidRDefault="00F01C78" w:rsidP="00F01C78">
      <w:pPr>
        <w:autoSpaceDE w:val="0"/>
        <w:autoSpaceDN w:val="0"/>
        <w:adjustRightInd w:val="0"/>
        <w:ind w:firstLine="708"/>
        <w:jc w:val="both"/>
        <w:rPr>
          <w:sz w:val="28"/>
          <w:szCs w:val="26"/>
        </w:rPr>
      </w:pPr>
      <w:r w:rsidRPr="008124F3">
        <w:rPr>
          <w:sz w:val="28"/>
          <w:szCs w:val="26"/>
        </w:rPr>
        <w:t>Средняя процентная ставка по кредитам, предоставленным под поручительство Фонда, за период 20</w:t>
      </w:r>
      <w:r w:rsidR="00654BEE">
        <w:rPr>
          <w:sz w:val="28"/>
          <w:szCs w:val="26"/>
        </w:rPr>
        <w:t>20</w:t>
      </w:r>
      <w:r w:rsidR="00004FEA">
        <w:rPr>
          <w:sz w:val="28"/>
          <w:szCs w:val="26"/>
        </w:rPr>
        <w:t xml:space="preserve"> </w:t>
      </w:r>
      <w:r w:rsidRPr="008124F3">
        <w:rPr>
          <w:sz w:val="28"/>
          <w:szCs w:val="26"/>
        </w:rPr>
        <w:t>-</w:t>
      </w:r>
      <w:r w:rsidR="00014947">
        <w:rPr>
          <w:sz w:val="28"/>
          <w:szCs w:val="26"/>
        </w:rPr>
        <w:t xml:space="preserve"> </w:t>
      </w:r>
      <w:r w:rsidR="003A3820">
        <w:rPr>
          <w:sz w:val="28"/>
          <w:szCs w:val="26"/>
        </w:rPr>
        <w:t>по 01.12.</w:t>
      </w:r>
      <w:r w:rsidRPr="008124F3">
        <w:rPr>
          <w:sz w:val="28"/>
          <w:szCs w:val="26"/>
        </w:rPr>
        <w:t>20</w:t>
      </w:r>
      <w:r w:rsidR="00654BEE">
        <w:rPr>
          <w:sz w:val="28"/>
          <w:szCs w:val="26"/>
        </w:rPr>
        <w:t>22</w:t>
      </w:r>
      <w:r w:rsidRPr="008124F3">
        <w:rPr>
          <w:sz w:val="28"/>
          <w:szCs w:val="26"/>
        </w:rPr>
        <w:t xml:space="preserve"> гг. имеет тенденцию </w:t>
      </w:r>
      <w:r w:rsidR="00014947" w:rsidRPr="00004FEA">
        <w:rPr>
          <w:sz w:val="28"/>
          <w:szCs w:val="26"/>
        </w:rPr>
        <w:t>увеличения</w:t>
      </w:r>
      <w:r w:rsidRPr="00014947">
        <w:rPr>
          <w:sz w:val="28"/>
          <w:szCs w:val="26"/>
        </w:rPr>
        <w:t>: 20</w:t>
      </w:r>
      <w:r w:rsidR="00C06B6D" w:rsidRPr="00004FEA">
        <w:rPr>
          <w:sz w:val="28"/>
          <w:szCs w:val="26"/>
        </w:rPr>
        <w:t>20</w:t>
      </w:r>
      <w:r w:rsidRPr="00014947">
        <w:rPr>
          <w:sz w:val="28"/>
          <w:szCs w:val="26"/>
        </w:rPr>
        <w:t xml:space="preserve"> г. – </w:t>
      </w:r>
      <w:r w:rsidR="00C06B6D" w:rsidRPr="00004FEA">
        <w:rPr>
          <w:sz w:val="28"/>
          <w:szCs w:val="26"/>
        </w:rPr>
        <w:t>7</w:t>
      </w:r>
      <w:r w:rsidRPr="00014947">
        <w:rPr>
          <w:sz w:val="28"/>
          <w:szCs w:val="26"/>
        </w:rPr>
        <w:t>,2</w:t>
      </w:r>
      <w:r w:rsidR="00014947" w:rsidRPr="00004FEA">
        <w:rPr>
          <w:sz w:val="28"/>
          <w:szCs w:val="26"/>
        </w:rPr>
        <w:t>0</w:t>
      </w:r>
      <w:r w:rsidRPr="00014947">
        <w:rPr>
          <w:sz w:val="28"/>
          <w:szCs w:val="26"/>
        </w:rPr>
        <w:t xml:space="preserve"> %, 20</w:t>
      </w:r>
      <w:r w:rsidR="00C06B6D" w:rsidRPr="00004FEA">
        <w:rPr>
          <w:sz w:val="28"/>
          <w:szCs w:val="26"/>
        </w:rPr>
        <w:t>2</w:t>
      </w:r>
      <w:r w:rsidRPr="00014947">
        <w:rPr>
          <w:sz w:val="28"/>
          <w:szCs w:val="26"/>
        </w:rPr>
        <w:t xml:space="preserve">1 г. – </w:t>
      </w:r>
      <w:r w:rsidR="00880D50" w:rsidRPr="00004FEA">
        <w:rPr>
          <w:sz w:val="28"/>
          <w:szCs w:val="26"/>
        </w:rPr>
        <w:t>7</w:t>
      </w:r>
      <w:r w:rsidRPr="00014947">
        <w:rPr>
          <w:sz w:val="28"/>
          <w:szCs w:val="26"/>
        </w:rPr>
        <w:t>,</w:t>
      </w:r>
      <w:r w:rsidR="00880D50" w:rsidRPr="00004FEA">
        <w:rPr>
          <w:sz w:val="28"/>
          <w:szCs w:val="26"/>
        </w:rPr>
        <w:t>39</w:t>
      </w:r>
      <w:r w:rsidRPr="00014947">
        <w:rPr>
          <w:sz w:val="28"/>
          <w:szCs w:val="26"/>
        </w:rPr>
        <w:t xml:space="preserve"> %, 20</w:t>
      </w:r>
      <w:r w:rsidR="00C06B6D" w:rsidRPr="00004FEA">
        <w:rPr>
          <w:sz w:val="28"/>
          <w:szCs w:val="26"/>
        </w:rPr>
        <w:t>22</w:t>
      </w:r>
      <w:r w:rsidRPr="00014947">
        <w:rPr>
          <w:sz w:val="28"/>
          <w:szCs w:val="26"/>
        </w:rPr>
        <w:t xml:space="preserve"> г. – 10,</w:t>
      </w:r>
      <w:r w:rsidR="00880D50" w:rsidRPr="00004FEA">
        <w:rPr>
          <w:sz w:val="28"/>
          <w:szCs w:val="26"/>
        </w:rPr>
        <w:t>85</w:t>
      </w:r>
      <w:r w:rsidRPr="00014947">
        <w:rPr>
          <w:sz w:val="28"/>
          <w:szCs w:val="26"/>
        </w:rPr>
        <w:t xml:space="preserve"> %.</w:t>
      </w:r>
    </w:p>
    <w:p w:rsidR="00F01C78" w:rsidRPr="008124F3" w:rsidRDefault="00F01C78" w:rsidP="00F01C78">
      <w:pPr>
        <w:autoSpaceDE w:val="0"/>
        <w:autoSpaceDN w:val="0"/>
        <w:adjustRightInd w:val="0"/>
        <w:ind w:firstLine="708"/>
        <w:jc w:val="both"/>
        <w:rPr>
          <w:sz w:val="28"/>
          <w:szCs w:val="26"/>
        </w:rPr>
      </w:pPr>
      <w:r w:rsidRPr="008124F3">
        <w:rPr>
          <w:sz w:val="28"/>
          <w:szCs w:val="26"/>
        </w:rPr>
        <w:t>Количество предоставленных поручительств в разрезе банков-партнеров за 20</w:t>
      </w:r>
      <w:r w:rsidR="00654BEE">
        <w:rPr>
          <w:sz w:val="28"/>
          <w:szCs w:val="26"/>
        </w:rPr>
        <w:t>20</w:t>
      </w:r>
      <w:r w:rsidRPr="008124F3">
        <w:rPr>
          <w:sz w:val="28"/>
          <w:szCs w:val="26"/>
        </w:rPr>
        <w:t>-20</w:t>
      </w:r>
      <w:r w:rsidR="00654BEE">
        <w:rPr>
          <w:sz w:val="28"/>
          <w:szCs w:val="26"/>
        </w:rPr>
        <w:t>22</w:t>
      </w:r>
      <w:r w:rsidRPr="008124F3">
        <w:rPr>
          <w:sz w:val="28"/>
          <w:szCs w:val="26"/>
        </w:rPr>
        <w:t xml:space="preserve"> гг. отражено в Таблице 3:</w:t>
      </w:r>
    </w:p>
    <w:p w:rsidR="00F01C78" w:rsidRDefault="00F01C78" w:rsidP="00F01C78">
      <w:pPr>
        <w:autoSpaceDE w:val="0"/>
        <w:autoSpaceDN w:val="0"/>
        <w:adjustRightInd w:val="0"/>
        <w:ind w:firstLine="708"/>
        <w:jc w:val="right"/>
        <w:rPr>
          <w:sz w:val="26"/>
          <w:szCs w:val="26"/>
        </w:rPr>
      </w:pPr>
      <w:r>
        <w:rPr>
          <w:sz w:val="26"/>
          <w:szCs w:val="26"/>
        </w:rPr>
        <w:t>Таблица 3.</w:t>
      </w:r>
    </w:p>
    <w:tbl>
      <w:tblPr>
        <w:tblW w:w="9929" w:type="dxa"/>
        <w:tblInd w:w="-147" w:type="dxa"/>
        <w:tblLook w:val="04A0" w:firstRow="1" w:lastRow="0" w:firstColumn="1" w:lastColumn="0" w:noHBand="0" w:noVBand="1"/>
      </w:tblPr>
      <w:tblGrid>
        <w:gridCol w:w="2694"/>
        <w:gridCol w:w="855"/>
        <w:gridCol w:w="891"/>
        <w:gridCol w:w="806"/>
        <w:gridCol w:w="997"/>
        <w:gridCol w:w="855"/>
        <w:gridCol w:w="846"/>
        <w:gridCol w:w="851"/>
        <w:gridCol w:w="1134"/>
      </w:tblGrid>
      <w:tr w:rsidR="00F15CC3" w:rsidRPr="00F15CC3" w:rsidTr="00004FEA">
        <w:trPr>
          <w:trHeight w:val="675"/>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Наименование банка/партнёра</w:t>
            </w:r>
          </w:p>
        </w:tc>
        <w:tc>
          <w:tcPr>
            <w:tcW w:w="1746"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2020 год</w:t>
            </w:r>
          </w:p>
        </w:tc>
        <w:tc>
          <w:tcPr>
            <w:tcW w:w="1803"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2021 год</w:t>
            </w:r>
          </w:p>
        </w:tc>
        <w:tc>
          <w:tcPr>
            <w:tcW w:w="170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3A3820" w:rsidRDefault="00004FEA">
            <w:pPr>
              <w:jc w:val="center"/>
              <w:rPr>
                <w:rFonts w:ascii="Calibri" w:hAnsi="Calibri" w:cs="Calibri"/>
                <w:b/>
                <w:bCs/>
                <w:color w:val="000000"/>
                <w:sz w:val="20"/>
                <w:szCs w:val="22"/>
              </w:rPr>
            </w:pPr>
            <w:r>
              <w:rPr>
                <w:rFonts w:ascii="Calibri" w:hAnsi="Calibri" w:cs="Calibri"/>
                <w:b/>
                <w:bCs/>
                <w:color w:val="000000"/>
                <w:sz w:val="20"/>
                <w:szCs w:val="22"/>
              </w:rPr>
              <w:t xml:space="preserve">За </w:t>
            </w:r>
            <w:r w:rsidR="003A3820">
              <w:rPr>
                <w:rFonts w:ascii="Calibri" w:hAnsi="Calibri" w:cs="Calibri"/>
                <w:b/>
                <w:bCs/>
                <w:color w:val="000000"/>
                <w:sz w:val="20"/>
                <w:szCs w:val="22"/>
              </w:rPr>
              <w:t>11 месяцев</w:t>
            </w:r>
          </w:p>
          <w:p w:rsidR="006F3C58" w:rsidRPr="00004FEA" w:rsidRDefault="003A3820">
            <w:pPr>
              <w:jc w:val="center"/>
              <w:rPr>
                <w:rFonts w:ascii="Calibri" w:hAnsi="Calibri" w:cs="Calibri"/>
                <w:b/>
                <w:bCs/>
                <w:color w:val="000000"/>
                <w:sz w:val="20"/>
                <w:szCs w:val="22"/>
              </w:rPr>
            </w:pPr>
            <w:r>
              <w:rPr>
                <w:rFonts w:ascii="Calibri" w:hAnsi="Calibri" w:cs="Calibri"/>
                <w:b/>
                <w:bCs/>
                <w:color w:val="000000"/>
                <w:sz w:val="20"/>
                <w:szCs w:val="22"/>
              </w:rPr>
              <w:t xml:space="preserve"> </w:t>
            </w:r>
            <w:r w:rsidR="006F3C58" w:rsidRPr="00004FEA">
              <w:rPr>
                <w:rFonts w:ascii="Calibri" w:hAnsi="Calibri" w:cs="Calibri"/>
                <w:b/>
                <w:bCs/>
                <w:color w:val="000000"/>
                <w:sz w:val="20"/>
                <w:szCs w:val="22"/>
              </w:rPr>
              <w:t>2022 год</w:t>
            </w:r>
            <w:r>
              <w:rPr>
                <w:rFonts w:ascii="Calibri" w:hAnsi="Calibri" w:cs="Calibri"/>
                <w:b/>
                <w:bCs/>
                <w:color w:val="000000"/>
                <w:sz w:val="20"/>
                <w:szCs w:val="22"/>
              </w:rPr>
              <w:t>а</w:t>
            </w:r>
          </w:p>
        </w:tc>
        <w:tc>
          <w:tcPr>
            <w:tcW w:w="1985"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Итого</w:t>
            </w:r>
          </w:p>
        </w:tc>
      </w:tr>
      <w:tr w:rsidR="00F15CC3" w:rsidRPr="00F15CC3" w:rsidTr="00004FEA">
        <w:trPr>
          <w:trHeight w:val="60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3C58" w:rsidRPr="00004FEA" w:rsidRDefault="006F3C58">
            <w:pPr>
              <w:rPr>
                <w:rFonts w:ascii="Calibri" w:hAnsi="Calibri" w:cs="Calibri"/>
                <w:b/>
                <w:bCs/>
                <w:color w:val="000000"/>
                <w:sz w:val="20"/>
                <w:szCs w:val="22"/>
              </w:rPr>
            </w:pP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r w:rsidRPr="00004FEA">
              <w:rPr>
                <w:rFonts w:ascii="Calibri" w:hAnsi="Calibri" w:cs="Calibri"/>
                <w:color w:val="000000"/>
                <w:sz w:val="20"/>
                <w:szCs w:val="22"/>
              </w:rPr>
              <w:t>кол-во</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r w:rsidRPr="00004FEA">
              <w:rPr>
                <w:rFonts w:ascii="Calibri" w:hAnsi="Calibri" w:cs="Calibri"/>
                <w:color w:val="000000"/>
                <w:sz w:val="20"/>
                <w:szCs w:val="22"/>
              </w:rPr>
              <w:t>Сумма, млн.</w:t>
            </w:r>
          </w:p>
        </w:tc>
        <w:tc>
          <w:tcPr>
            <w:tcW w:w="806"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r w:rsidRPr="00004FEA">
              <w:rPr>
                <w:rFonts w:ascii="Calibri" w:hAnsi="Calibri" w:cs="Calibri"/>
                <w:color w:val="000000"/>
                <w:sz w:val="20"/>
                <w:szCs w:val="22"/>
              </w:rPr>
              <w:t>кол-во</w:t>
            </w:r>
          </w:p>
        </w:tc>
        <w:tc>
          <w:tcPr>
            <w:tcW w:w="997"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bookmarkStart w:id="1" w:name="RANGE!F3"/>
            <w:r w:rsidRPr="00004FEA">
              <w:rPr>
                <w:rFonts w:ascii="Calibri" w:hAnsi="Calibri" w:cs="Calibri"/>
                <w:color w:val="000000"/>
                <w:sz w:val="20"/>
                <w:szCs w:val="22"/>
              </w:rPr>
              <w:t>Сумма, млн.</w:t>
            </w:r>
            <w:bookmarkEnd w:id="1"/>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r w:rsidRPr="00004FEA">
              <w:rPr>
                <w:rFonts w:ascii="Calibri" w:hAnsi="Calibri" w:cs="Calibri"/>
                <w:color w:val="000000"/>
                <w:sz w:val="20"/>
                <w:szCs w:val="22"/>
              </w:rPr>
              <w:t>кол-во</w:t>
            </w:r>
          </w:p>
        </w:tc>
        <w:tc>
          <w:tcPr>
            <w:tcW w:w="846"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rPr>
                <w:rFonts w:ascii="Calibri" w:hAnsi="Calibri" w:cs="Calibri"/>
                <w:color w:val="000000"/>
                <w:sz w:val="20"/>
                <w:szCs w:val="22"/>
              </w:rPr>
            </w:pPr>
            <w:r w:rsidRPr="00004FEA">
              <w:rPr>
                <w:rFonts w:ascii="Calibri" w:hAnsi="Calibri" w:cs="Calibri"/>
                <w:color w:val="000000"/>
                <w:sz w:val="20"/>
                <w:szCs w:val="22"/>
              </w:rPr>
              <w:t>Сумма, млн.</w:t>
            </w:r>
          </w:p>
        </w:tc>
        <w:tc>
          <w:tcPr>
            <w:tcW w:w="851" w:type="dxa"/>
            <w:tcBorders>
              <w:top w:val="nil"/>
              <w:left w:val="nil"/>
              <w:bottom w:val="single" w:sz="4" w:space="0" w:color="auto"/>
              <w:right w:val="single" w:sz="4" w:space="0" w:color="auto"/>
            </w:tcBorders>
            <w:shd w:val="clear" w:color="000000" w:fill="D9D9D9"/>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кол-во</w:t>
            </w:r>
          </w:p>
        </w:tc>
        <w:tc>
          <w:tcPr>
            <w:tcW w:w="1134" w:type="dxa"/>
            <w:tcBorders>
              <w:top w:val="nil"/>
              <w:left w:val="nil"/>
              <w:bottom w:val="single" w:sz="4" w:space="0" w:color="auto"/>
              <w:right w:val="single" w:sz="4" w:space="0" w:color="auto"/>
            </w:tcBorders>
            <w:shd w:val="clear" w:color="000000" w:fill="D9D9D9"/>
            <w:noWrap/>
            <w:vAlign w:val="center"/>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Сумма, млн.</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lastRenderedPageBreak/>
              <w:t>ПАО СБЕРБАНК</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29</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109,00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34</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184,30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113</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660,3</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176</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953,60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АО «БАНК ОРЕНБУРГ»</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8</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47,70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32,50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11</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168,8</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249,00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ПАО «НИКО-БАНК»</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7</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80,30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9</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50,30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10</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81,6</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212,20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ФРП</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w:t>
            </w:r>
          </w:p>
        </w:tc>
        <w:tc>
          <w:tcPr>
            <w:tcW w:w="89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58,4</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58,40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ВТБ (ПАО)</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2</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11,70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9</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80,10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7</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78,8</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170,60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ПАО Банк «ФК «Открытие»</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1</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4,00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2,80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44,80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АКБ Форштадт АО</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2</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35,00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23,3</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58,30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ООФПМП</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w:t>
            </w:r>
          </w:p>
        </w:tc>
        <w:tc>
          <w:tcPr>
            <w:tcW w:w="89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4,8</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4,80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АО "АЛЬФА-БАНК"</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0,00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bottom"/>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ПАО «Промсвязьбанк»</w:t>
            </w:r>
          </w:p>
        </w:tc>
        <w:tc>
          <w:tcPr>
            <w:tcW w:w="855"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6</w:t>
            </w:r>
          </w:p>
        </w:tc>
        <w:tc>
          <w:tcPr>
            <w:tcW w:w="891" w:type="dxa"/>
            <w:tcBorders>
              <w:top w:val="nil"/>
              <w:left w:val="nil"/>
              <w:bottom w:val="single" w:sz="4" w:space="0" w:color="auto"/>
              <w:right w:val="single" w:sz="4" w:space="0" w:color="auto"/>
            </w:tcBorders>
            <w:shd w:val="clear" w:color="auto" w:fill="auto"/>
            <w:noWrap/>
            <w:vAlign w:val="bottom"/>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56,00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56,00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АО «</w:t>
            </w:r>
            <w:proofErr w:type="spellStart"/>
            <w:r w:rsidRPr="00004FEA">
              <w:rPr>
                <w:rFonts w:ascii="Calibri" w:hAnsi="Calibri" w:cs="Calibri"/>
                <w:b/>
                <w:bCs/>
                <w:color w:val="000000"/>
                <w:sz w:val="20"/>
                <w:szCs w:val="22"/>
              </w:rPr>
              <w:t>Россельхозбанк</w:t>
            </w:r>
            <w:proofErr w:type="spellEnd"/>
            <w:r w:rsidRPr="00004FEA">
              <w:rPr>
                <w:rFonts w:ascii="Calibri" w:hAnsi="Calibri" w:cs="Calibri"/>
                <w:b/>
                <w:bCs/>
                <w:color w:val="000000"/>
                <w:sz w:val="20"/>
                <w:szCs w:val="22"/>
              </w:rPr>
              <w:t>»</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w:t>
            </w:r>
          </w:p>
        </w:tc>
        <w:tc>
          <w:tcPr>
            <w:tcW w:w="89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0,00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0,00</w:t>
            </w:r>
          </w:p>
        </w:tc>
      </w:tr>
      <w:tr w:rsidR="00F15CC3" w:rsidRPr="00F15CC3" w:rsidTr="00004FEA">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F3C58" w:rsidRPr="00004FEA" w:rsidRDefault="006F3C58">
            <w:pPr>
              <w:rPr>
                <w:rFonts w:ascii="Calibri" w:hAnsi="Calibri" w:cs="Calibri"/>
                <w:b/>
                <w:bCs/>
                <w:color w:val="000000"/>
                <w:sz w:val="20"/>
                <w:szCs w:val="22"/>
              </w:rPr>
            </w:pPr>
            <w:r w:rsidRPr="00004FEA">
              <w:rPr>
                <w:rFonts w:ascii="Calibri" w:hAnsi="Calibri" w:cs="Calibri"/>
                <w:b/>
                <w:bCs/>
                <w:color w:val="000000"/>
                <w:sz w:val="20"/>
                <w:szCs w:val="22"/>
              </w:rPr>
              <w:t>ПАО «АК БАРС» БАНК</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1</w:t>
            </w:r>
          </w:p>
        </w:tc>
        <w:tc>
          <w:tcPr>
            <w:tcW w:w="89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3,50</w:t>
            </w:r>
          </w:p>
        </w:tc>
        <w:tc>
          <w:tcPr>
            <w:tcW w:w="80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997"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0,00</w:t>
            </w:r>
          </w:p>
        </w:tc>
        <w:tc>
          <w:tcPr>
            <w:tcW w:w="855"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3,50</w:t>
            </w:r>
          </w:p>
        </w:tc>
      </w:tr>
      <w:tr w:rsidR="00F15CC3" w:rsidRPr="00F15CC3" w:rsidTr="00F15CC3">
        <w:trPr>
          <w:trHeight w:val="300"/>
        </w:trPr>
        <w:tc>
          <w:tcPr>
            <w:tcW w:w="2694" w:type="dxa"/>
            <w:tcBorders>
              <w:top w:val="nil"/>
              <w:left w:val="single" w:sz="4" w:space="0" w:color="auto"/>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Итого</w:t>
            </w:r>
          </w:p>
        </w:tc>
        <w:tc>
          <w:tcPr>
            <w:tcW w:w="855"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56</w:t>
            </w:r>
          </w:p>
        </w:tc>
        <w:tc>
          <w:tcPr>
            <w:tcW w:w="891"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right"/>
              <w:rPr>
                <w:rFonts w:ascii="Calibri" w:hAnsi="Calibri" w:cs="Calibri"/>
                <w:color w:val="000000"/>
                <w:sz w:val="20"/>
                <w:szCs w:val="22"/>
              </w:rPr>
            </w:pPr>
            <w:r w:rsidRPr="00004FEA">
              <w:rPr>
                <w:rFonts w:ascii="Calibri" w:hAnsi="Calibri" w:cs="Calibri"/>
                <w:color w:val="000000"/>
                <w:sz w:val="20"/>
                <w:szCs w:val="22"/>
              </w:rPr>
              <w:t>347,20</w:t>
            </w:r>
          </w:p>
        </w:tc>
        <w:tc>
          <w:tcPr>
            <w:tcW w:w="806"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56</w:t>
            </w:r>
          </w:p>
        </w:tc>
        <w:tc>
          <w:tcPr>
            <w:tcW w:w="997"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350,00</w:t>
            </w:r>
          </w:p>
        </w:tc>
        <w:tc>
          <w:tcPr>
            <w:tcW w:w="855"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156</w:t>
            </w:r>
          </w:p>
        </w:tc>
        <w:tc>
          <w:tcPr>
            <w:tcW w:w="846"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color w:val="000000"/>
                <w:sz w:val="20"/>
                <w:szCs w:val="22"/>
              </w:rPr>
            </w:pPr>
            <w:r w:rsidRPr="00004FEA">
              <w:rPr>
                <w:rFonts w:ascii="Calibri" w:hAnsi="Calibri" w:cs="Calibri"/>
                <w:color w:val="000000"/>
                <w:sz w:val="20"/>
                <w:szCs w:val="22"/>
              </w:rPr>
              <w:t>1114</w:t>
            </w:r>
          </w:p>
        </w:tc>
        <w:tc>
          <w:tcPr>
            <w:tcW w:w="851"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268</w:t>
            </w:r>
          </w:p>
        </w:tc>
        <w:tc>
          <w:tcPr>
            <w:tcW w:w="1134" w:type="dxa"/>
            <w:tcBorders>
              <w:top w:val="nil"/>
              <w:left w:val="nil"/>
              <w:bottom w:val="single" w:sz="4" w:space="0" w:color="auto"/>
              <w:right w:val="single" w:sz="4" w:space="0" w:color="auto"/>
            </w:tcBorders>
            <w:shd w:val="clear" w:color="000000" w:fill="BFBFBF"/>
            <w:noWrap/>
            <w:vAlign w:val="center"/>
            <w:hideMark/>
          </w:tcPr>
          <w:p w:rsidR="006F3C58" w:rsidRPr="00004FEA" w:rsidRDefault="006F3C58">
            <w:pPr>
              <w:jc w:val="center"/>
              <w:rPr>
                <w:rFonts w:ascii="Calibri" w:hAnsi="Calibri" w:cs="Calibri"/>
                <w:b/>
                <w:bCs/>
                <w:color w:val="000000"/>
                <w:sz w:val="20"/>
                <w:szCs w:val="22"/>
              </w:rPr>
            </w:pPr>
            <w:r w:rsidRPr="00004FEA">
              <w:rPr>
                <w:rFonts w:ascii="Calibri" w:hAnsi="Calibri" w:cs="Calibri"/>
                <w:b/>
                <w:bCs/>
                <w:color w:val="000000"/>
                <w:sz w:val="20"/>
                <w:szCs w:val="22"/>
              </w:rPr>
              <w:t>1 811,20</w:t>
            </w:r>
          </w:p>
        </w:tc>
      </w:tr>
    </w:tbl>
    <w:p w:rsidR="00F01C78" w:rsidRDefault="00F01C78" w:rsidP="00F01C78">
      <w:pPr>
        <w:autoSpaceDE w:val="0"/>
        <w:autoSpaceDN w:val="0"/>
        <w:adjustRightInd w:val="0"/>
        <w:ind w:firstLine="708"/>
        <w:jc w:val="both"/>
        <w:rPr>
          <w:sz w:val="26"/>
          <w:szCs w:val="26"/>
        </w:rPr>
      </w:pPr>
    </w:p>
    <w:p w:rsidR="00F01C78" w:rsidRPr="00004FEA" w:rsidRDefault="00F01C78" w:rsidP="00F01C78">
      <w:pPr>
        <w:autoSpaceDE w:val="0"/>
        <w:autoSpaceDN w:val="0"/>
        <w:adjustRightInd w:val="0"/>
        <w:ind w:firstLine="708"/>
        <w:jc w:val="both"/>
        <w:rPr>
          <w:color w:val="000000"/>
          <w:sz w:val="28"/>
          <w:szCs w:val="26"/>
        </w:rPr>
      </w:pPr>
      <w:r w:rsidRPr="008124F3">
        <w:rPr>
          <w:sz w:val="28"/>
          <w:szCs w:val="26"/>
        </w:rPr>
        <w:t xml:space="preserve">На протяжении анализируемого периода основную активность по предоставлению поручительств проявили </w:t>
      </w:r>
      <w:r w:rsidR="00F15CC3" w:rsidRPr="00004FEA">
        <w:rPr>
          <w:color w:val="000000"/>
          <w:sz w:val="28"/>
          <w:szCs w:val="26"/>
        </w:rPr>
        <w:t xml:space="preserve">ПАО </w:t>
      </w:r>
      <w:proofErr w:type="gramStart"/>
      <w:r w:rsidR="00F15CC3" w:rsidRPr="00004FEA">
        <w:rPr>
          <w:color w:val="000000"/>
          <w:sz w:val="28"/>
          <w:szCs w:val="26"/>
        </w:rPr>
        <w:t xml:space="preserve">СБЕРБАНК  </w:t>
      </w:r>
      <w:r w:rsidRPr="00E73B89">
        <w:rPr>
          <w:color w:val="000000"/>
          <w:sz w:val="28"/>
          <w:szCs w:val="26"/>
        </w:rPr>
        <w:t>на</w:t>
      </w:r>
      <w:proofErr w:type="gramEnd"/>
      <w:r w:rsidRPr="00E73B89">
        <w:rPr>
          <w:color w:val="000000"/>
          <w:sz w:val="28"/>
          <w:szCs w:val="26"/>
        </w:rPr>
        <w:t xml:space="preserve"> </w:t>
      </w:r>
      <w:r w:rsidR="00F15CC3" w:rsidRPr="00004FEA">
        <w:rPr>
          <w:color w:val="000000"/>
          <w:sz w:val="28"/>
          <w:szCs w:val="26"/>
        </w:rPr>
        <w:t xml:space="preserve">его </w:t>
      </w:r>
      <w:r w:rsidRPr="00E73B89">
        <w:rPr>
          <w:color w:val="000000"/>
          <w:sz w:val="28"/>
          <w:szCs w:val="26"/>
        </w:rPr>
        <w:t xml:space="preserve">долю </w:t>
      </w:r>
      <w:r w:rsidR="00F15CC3" w:rsidRPr="00004FEA">
        <w:rPr>
          <w:color w:val="000000"/>
          <w:sz w:val="28"/>
          <w:szCs w:val="26"/>
        </w:rPr>
        <w:t>п</w:t>
      </w:r>
      <w:r w:rsidRPr="00E73B89">
        <w:rPr>
          <w:color w:val="000000"/>
          <w:sz w:val="28"/>
          <w:szCs w:val="26"/>
        </w:rPr>
        <w:t xml:space="preserve">риходится более </w:t>
      </w:r>
      <w:r w:rsidR="00F15CC3" w:rsidRPr="00004FEA">
        <w:rPr>
          <w:color w:val="000000"/>
          <w:sz w:val="28"/>
          <w:szCs w:val="26"/>
        </w:rPr>
        <w:t>6</w:t>
      </w:r>
      <w:r w:rsidRPr="00E73B89">
        <w:rPr>
          <w:color w:val="000000"/>
          <w:sz w:val="28"/>
          <w:szCs w:val="26"/>
        </w:rPr>
        <w:t>5,</w:t>
      </w:r>
      <w:r w:rsidR="00F15CC3" w:rsidRPr="00004FEA">
        <w:rPr>
          <w:color w:val="000000"/>
          <w:sz w:val="28"/>
          <w:szCs w:val="26"/>
        </w:rPr>
        <w:t>7</w:t>
      </w:r>
      <w:r w:rsidRPr="00E73B89">
        <w:rPr>
          <w:color w:val="000000"/>
          <w:sz w:val="28"/>
          <w:szCs w:val="26"/>
        </w:rPr>
        <w:t xml:space="preserve"> % поручительств от общего количества предоставленных поручительств. В 20</w:t>
      </w:r>
      <w:r w:rsidR="00F15CC3" w:rsidRPr="00004FEA">
        <w:rPr>
          <w:color w:val="000000"/>
          <w:sz w:val="28"/>
          <w:szCs w:val="26"/>
        </w:rPr>
        <w:t>20</w:t>
      </w:r>
      <w:r w:rsidRPr="00E73B89">
        <w:rPr>
          <w:color w:val="000000"/>
          <w:sz w:val="28"/>
          <w:szCs w:val="26"/>
        </w:rPr>
        <w:t>-20</w:t>
      </w:r>
      <w:r w:rsidR="00F15CC3" w:rsidRPr="00004FEA">
        <w:rPr>
          <w:color w:val="000000"/>
          <w:sz w:val="28"/>
          <w:szCs w:val="26"/>
        </w:rPr>
        <w:t>22</w:t>
      </w:r>
      <w:r w:rsidRPr="00E73B89">
        <w:rPr>
          <w:color w:val="000000"/>
          <w:sz w:val="28"/>
          <w:szCs w:val="26"/>
        </w:rPr>
        <w:t xml:space="preserve"> гг. включились в программу предоставления поручительств</w:t>
      </w:r>
      <w:r w:rsidR="009B1065" w:rsidRPr="00004FEA">
        <w:rPr>
          <w:color w:val="000000"/>
          <w:sz w:val="28"/>
          <w:szCs w:val="26"/>
        </w:rPr>
        <w:t xml:space="preserve"> новые партнёры Фонда: НО «Оренбургский областной фонд поддержки малого предпринимательства», НО «Фонд развития промышленности Оренбургской области», АО «РЛК Республики Саха (Якутия)», АО «Региональная лизинговая компания Республики Татарстан», АО «Региональная лизинговая компания Ярославской области», АО «Региональная лизинговая компания Республики Башкортостан», ФГАУ «Российский фонд технологического разв</w:t>
      </w:r>
      <w:r w:rsidR="00E73B89">
        <w:rPr>
          <w:color w:val="000000"/>
          <w:sz w:val="28"/>
          <w:szCs w:val="26"/>
        </w:rPr>
        <w:t>и</w:t>
      </w:r>
      <w:r w:rsidR="009B1065" w:rsidRPr="00004FEA">
        <w:rPr>
          <w:color w:val="000000"/>
          <w:sz w:val="28"/>
          <w:szCs w:val="26"/>
        </w:rPr>
        <w:t>тия»</w:t>
      </w:r>
      <w:r w:rsidR="00E73B89">
        <w:rPr>
          <w:color w:val="000000"/>
          <w:sz w:val="28"/>
          <w:szCs w:val="26"/>
        </w:rPr>
        <w:t>.</w:t>
      </w:r>
    </w:p>
    <w:p w:rsidR="00E73B89" w:rsidRDefault="00E73B89" w:rsidP="00F01C78">
      <w:pPr>
        <w:autoSpaceDE w:val="0"/>
        <w:autoSpaceDN w:val="0"/>
        <w:adjustRightInd w:val="0"/>
        <w:ind w:firstLine="708"/>
        <w:jc w:val="both"/>
        <w:rPr>
          <w:sz w:val="28"/>
          <w:szCs w:val="26"/>
        </w:rPr>
      </w:pPr>
    </w:p>
    <w:p w:rsidR="00F01C78" w:rsidRPr="008124F3" w:rsidRDefault="00F01C78" w:rsidP="00F01C78">
      <w:pPr>
        <w:autoSpaceDE w:val="0"/>
        <w:autoSpaceDN w:val="0"/>
        <w:adjustRightInd w:val="0"/>
        <w:ind w:firstLine="708"/>
        <w:jc w:val="both"/>
        <w:rPr>
          <w:sz w:val="28"/>
          <w:szCs w:val="26"/>
        </w:rPr>
      </w:pPr>
      <w:r w:rsidRPr="008124F3">
        <w:rPr>
          <w:sz w:val="28"/>
          <w:szCs w:val="26"/>
        </w:rPr>
        <w:t>Отношение общего объема действующих поручительств Фонда к гарантийному капиталу Фонда по состоянию на 01.1</w:t>
      </w:r>
      <w:r w:rsidR="00231B1D">
        <w:rPr>
          <w:sz w:val="28"/>
          <w:szCs w:val="26"/>
        </w:rPr>
        <w:t>2</w:t>
      </w:r>
      <w:r w:rsidRPr="008124F3">
        <w:rPr>
          <w:sz w:val="28"/>
          <w:szCs w:val="26"/>
        </w:rPr>
        <w:t>.202</w:t>
      </w:r>
      <w:r w:rsidR="00231B1D">
        <w:rPr>
          <w:sz w:val="28"/>
          <w:szCs w:val="26"/>
        </w:rPr>
        <w:t>2</w:t>
      </w:r>
      <w:r w:rsidRPr="008124F3">
        <w:rPr>
          <w:sz w:val="28"/>
          <w:szCs w:val="26"/>
        </w:rPr>
        <w:t xml:space="preserve"> г. составило </w:t>
      </w:r>
      <w:r w:rsidR="00411616">
        <w:rPr>
          <w:sz w:val="28"/>
          <w:szCs w:val="26"/>
        </w:rPr>
        <w:t>2</w:t>
      </w:r>
      <w:r w:rsidRPr="008124F3">
        <w:rPr>
          <w:sz w:val="28"/>
          <w:szCs w:val="26"/>
        </w:rPr>
        <w:t>,</w:t>
      </w:r>
      <w:r w:rsidR="00411616">
        <w:rPr>
          <w:sz w:val="28"/>
          <w:szCs w:val="26"/>
        </w:rPr>
        <w:t>94</w:t>
      </w:r>
      <w:r w:rsidRPr="008124F3">
        <w:rPr>
          <w:sz w:val="28"/>
          <w:szCs w:val="26"/>
        </w:rPr>
        <w:t xml:space="preserve"> (нормативное значение показателя – 1,5). Данный показатель на начало 20</w:t>
      </w:r>
      <w:r w:rsidR="00632CDF">
        <w:rPr>
          <w:sz w:val="28"/>
          <w:szCs w:val="26"/>
        </w:rPr>
        <w:t>2</w:t>
      </w:r>
      <w:r w:rsidR="00411616">
        <w:rPr>
          <w:sz w:val="28"/>
          <w:szCs w:val="26"/>
        </w:rPr>
        <w:t>2</w:t>
      </w:r>
      <w:r w:rsidRPr="008124F3">
        <w:rPr>
          <w:sz w:val="28"/>
          <w:szCs w:val="26"/>
        </w:rPr>
        <w:t xml:space="preserve"> года составл</w:t>
      </w:r>
      <w:r w:rsidR="00411616">
        <w:rPr>
          <w:sz w:val="28"/>
          <w:szCs w:val="26"/>
        </w:rPr>
        <w:t>ял</w:t>
      </w:r>
      <w:r w:rsidRPr="008124F3">
        <w:rPr>
          <w:sz w:val="28"/>
          <w:szCs w:val="26"/>
        </w:rPr>
        <w:t xml:space="preserve"> </w:t>
      </w:r>
      <w:r w:rsidR="00411616">
        <w:rPr>
          <w:sz w:val="28"/>
          <w:szCs w:val="26"/>
        </w:rPr>
        <w:t>1</w:t>
      </w:r>
      <w:r w:rsidRPr="008124F3">
        <w:rPr>
          <w:sz w:val="28"/>
          <w:szCs w:val="26"/>
        </w:rPr>
        <w:t>,</w:t>
      </w:r>
      <w:r w:rsidR="00411616">
        <w:rPr>
          <w:sz w:val="28"/>
          <w:szCs w:val="26"/>
        </w:rPr>
        <w:t>6</w:t>
      </w:r>
      <w:r w:rsidRPr="008124F3">
        <w:rPr>
          <w:sz w:val="28"/>
          <w:szCs w:val="26"/>
        </w:rPr>
        <w:t xml:space="preserve">, увеличение </w:t>
      </w:r>
      <w:proofErr w:type="gramStart"/>
      <w:r w:rsidRPr="008124F3">
        <w:rPr>
          <w:sz w:val="28"/>
          <w:szCs w:val="26"/>
        </w:rPr>
        <w:t>показателя  по</w:t>
      </w:r>
      <w:proofErr w:type="gramEnd"/>
      <w:r w:rsidRPr="008124F3">
        <w:rPr>
          <w:sz w:val="28"/>
          <w:szCs w:val="26"/>
        </w:rPr>
        <w:t xml:space="preserve"> состоянию на 01.1</w:t>
      </w:r>
      <w:r w:rsidR="00411616">
        <w:rPr>
          <w:sz w:val="28"/>
          <w:szCs w:val="26"/>
        </w:rPr>
        <w:t>2</w:t>
      </w:r>
      <w:r w:rsidRPr="008124F3">
        <w:rPr>
          <w:sz w:val="28"/>
          <w:szCs w:val="26"/>
        </w:rPr>
        <w:t>.20</w:t>
      </w:r>
      <w:r w:rsidR="00632CDF">
        <w:rPr>
          <w:sz w:val="28"/>
          <w:szCs w:val="26"/>
        </w:rPr>
        <w:t>2</w:t>
      </w:r>
      <w:r w:rsidR="00411616">
        <w:rPr>
          <w:sz w:val="28"/>
          <w:szCs w:val="26"/>
        </w:rPr>
        <w:t>2</w:t>
      </w:r>
      <w:r w:rsidRPr="008124F3">
        <w:rPr>
          <w:sz w:val="28"/>
          <w:szCs w:val="26"/>
        </w:rPr>
        <w:t xml:space="preserve"> г. составило </w:t>
      </w:r>
      <w:r w:rsidR="00231B1D">
        <w:rPr>
          <w:sz w:val="28"/>
          <w:szCs w:val="26"/>
        </w:rPr>
        <w:t>1</w:t>
      </w:r>
      <w:r w:rsidRPr="008124F3">
        <w:rPr>
          <w:sz w:val="28"/>
          <w:szCs w:val="26"/>
        </w:rPr>
        <w:t>,</w:t>
      </w:r>
      <w:r w:rsidR="00411616">
        <w:rPr>
          <w:sz w:val="28"/>
          <w:szCs w:val="26"/>
        </w:rPr>
        <w:t>34</w:t>
      </w:r>
      <w:r w:rsidRPr="008124F3">
        <w:rPr>
          <w:sz w:val="28"/>
          <w:szCs w:val="26"/>
        </w:rPr>
        <w:t>.</w:t>
      </w:r>
    </w:p>
    <w:p w:rsidR="00F01C78" w:rsidRDefault="00411616" w:rsidP="00F01C78">
      <w:pPr>
        <w:autoSpaceDE w:val="0"/>
        <w:autoSpaceDN w:val="0"/>
        <w:adjustRightInd w:val="0"/>
        <w:jc w:val="both"/>
        <w:rPr>
          <w:sz w:val="26"/>
          <w:szCs w:val="26"/>
        </w:rPr>
      </w:pPr>
      <w:r w:rsidRPr="00411616">
        <w:rPr>
          <w:noProof/>
        </w:rPr>
        <w:t xml:space="preserve"> </w:t>
      </w:r>
      <w:r>
        <w:rPr>
          <w:noProof/>
        </w:rPr>
        <w:drawing>
          <wp:inline distT="0" distB="0" distL="0" distR="0" wp14:anchorId="25BDA458" wp14:editId="77567E43">
            <wp:extent cx="6137452" cy="2971800"/>
            <wp:effectExtent l="0" t="0" r="0" b="0"/>
            <wp:docPr id="9" name="Диаграмма 9">
              <a:extLst xmlns:a="http://schemas.openxmlformats.org/drawingml/2006/main">
                <a:ext uri="{FF2B5EF4-FFF2-40B4-BE49-F238E27FC236}">
                  <a16:creationId xmlns:a16="http://schemas.microsoft.com/office/drawing/2014/main" id="{1B86CE46-3AA3-45CA-8727-D29E76980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1C78" w:rsidRPr="008124F3" w:rsidRDefault="00F01C78" w:rsidP="00F01C78">
      <w:pPr>
        <w:spacing w:before="60"/>
        <w:ind w:firstLine="709"/>
        <w:jc w:val="both"/>
        <w:rPr>
          <w:sz w:val="28"/>
          <w:szCs w:val="26"/>
        </w:rPr>
      </w:pPr>
      <w:bookmarkStart w:id="2" w:name="_Hlk32501097"/>
      <w:r w:rsidRPr="008124F3">
        <w:rPr>
          <w:sz w:val="28"/>
          <w:szCs w:val="26"/>
        </w:rPr>
        <w:lastRenderedPageBreak/>
        <w:t>На протяжении 20</w:t>
      </w:r>
      <w:r w:rsidR="00632CDF">
        <w:rPr>
          <w:sz w:val="28"/>
          <w:szCs w:val="26"/>
        </w:rPr>
        <w:t>20</w:t>
      </w:r>
      <w:r w:rsidR="00E73B89">
        <w:rPr>
          <w:sz w:val="28"/>
          <w:szCs w:val="26"/>
        </w:rPr>
        <w:t xml:space="preserve"> </w:t>
      </w:r>
      <w:r w:rsidRPr="008124F3">
        <w:rPr>
          <w:sz w:val="28"/>
          <w:szCs w:val="26"/>
        </w:rPr>
        <w:t>-</w:t>
      </w:r>
      <w:r w:rsidR="00E5629C">
        <w:rPr>
          <w:sz w:val="28"/>
          <w:szCs w:val="26"/>
        </w:rPr>
        <w:t xml:space="preserve"> 11 месяцев </w:t>
      </w:r>
      <w:r w:rsidRPr="008124F3">
        <w:rPr>
          <w:sz w:val="28"/>
          <w:szCs w:val="26"/>
        </w:rPr>
        <w:t>20</w:t>
      </w:r>
      <w:r w:rsidR="00632CDF">
        <w:rPr>
          <w:sz w:val="28"/>
          <w:szCs w:val="26"/>
        </w:rPr>
        <w:t>22</w:t>
      </w:r>
      <w:r w:rsidRPr="008124F3">
        <w:rPr>
          <w:sz w:val="28"/>
          <w:szCs w:val="26"/>
        </w:rPr>
        <w:t xml:space="preserve"> гг. Фондом проводилась активная работа по взаимодействию с АО «Корпорация «МСП» посредством предоставления со</w:t>
      </w:r>
      <w:r w:rsidR="00E5629C">
        <w:rPr>
          <w:sz w:val="28"/>
          <w:szCs w:val="26"/>
        </w:rPr>
        <w:t>вместных поручительств</w:t>
      </w:r>
      <w:r w:rsidRPr="008124F3">
        <w:rPr>
          <w:sz w:val="28"/>
          <w:szCs w:val="26"/>
        </w:rPr>
        <w:t>, позволяющей обеспечить до 70% от суммы кредита.</w:t>
      </w:r>
    </w:p>
    <w:p w:rsidR="0054632C" w:rsidRPr="008124F3" w:rsidRDefault="0054632C" w:rsidP="00F01C78">
      <w:pPr>
        <w:spacing w:before="60"/>
        <w:ind w:firstLine="709"/>
        <w:jc w:val="both"/>
        <w:rPr>
          <w:sz w:val="28"/>
          <w:szCs w:val="26"/>
        </w:rPr>
      </w:pPr>
    </w:p>
    <w:tbl>
      <w:tblPr>
        <w:tblStyle w:val="13"/>
        <w:tblW w:w="9764" w:type="dxa"/>
        <w:tblInd w:w="-5" w:type="dxa"/>
        <w:tblLayout w:type="fixed"/>
        <w:tblLook w:val="04A0" w:firstRow="1" w:lastRow="0" w:firstColumn="1" w:lastColumn="0" w:noHBand="0" w:noVBand="1"/>
      </w:tblPr>
      <w:tblGrid>
        <w:gridCol w:w="2263"/>
        <w:gridCol w:w="1474"/>
        <w:gridCol w:w="1125"/>
        <w:gridCol w:w="1876"/>
        <w:gridCol w:w="1342"/>
        <w:gridCol w:w="1684"/>
      </w:tblGrid>
      <w:tr w:rsidR="00F01C78" w:rsidRPr="00580975" w:rsidTr="00004FEA">
        <w:trPr>
          <w:trHeight w:val="334"/>
        </w:trPr>
        <w:tc>
          <w:tcPr>
            <w:tcW w:w="2263" w:type="dxa"/>
            <w:vMerge w:val="restart"/>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Показатели</w:t>
            </w:r>
          </w:p>
        </w:tc>
        <w:tc>
          <w:tcPr>
            <w:tcW w:w="1474" w:type="dxa"/>
            <w:vMerge w:val="restart"/>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Количество совместных сделок (с АО «Корпорация «МСП»</w:t>
            </w:r>
          </w:p>
        </w:tc>
        <w:tc>
          <w:tcPr>
            <w:tcW w:w="1125" w:type="dxa"/>
            <w:vMerge w:val="restart"/>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Сумма кредита, </w:t>
            </w:r>
            <w:proofErr w:type="spellStart"/>
            <w:r w:rsidRPr="008124F3">
              <w:rPr>
                <w:sz w:val="22"/>
                <w:szCs w:val="19"/>
              </w:rPr>
              <w:t>млн.руб</w:t>
            </w:r>
            <w:proofErr w:type="spellEnd"/>
            <w:r w:rsidRPr="008124F3">
              <w:rPr>
                <w:sz w:val="22"/>
                <w:szCs w:val="19"/>
              </w:rPr>
              <w:t>.</w:t>
            </w:r>
          </w:p>
        </w:tc>
        <w:tc>
          <w:tcPr>
            <w:tcW w:w="1876" w:type="dxa"/>
            <w:vMerge w:val="restart"/>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Размер </w:t>
            </w:r>
            <w:proofErr w:type="spellStart"/>
            <w:r w:rsidRPr="008124F3">
              <w:rPr>
                <w:sz w:val="22"/>
                <w:szCs w:val="19"/>
              </w:rPr>
              <w:t>согарантии</w:t>
            </w:r>
            <w:proofErr w:type="spellEnd"/>
            <w:r w:rsidRPr="008124F3">
              <w:rPr>
                <w:sz w:val="22"/>
                <w:szCs w:val="19"/>
              </w:rPr>
              <w:t>, предоставленной СМСП</w:t>
            </w:r>
          </w:p>
        </w:tc>
        <w:tc>
          <w:tcPr>
            <w:tcW w:w="3026" w:type="dxa"/>
            <w:gridSpan w:val="2"/>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в том числе:</w:t>
            </w:r>
          </w:p>
        </w:tc>
      </w:tr>
      <w:tr w:rsidR="00F01C78" w:rsidRPr="00580975" w:rsidTr="00004FEA">
        <w:trPr>
          <w:trHeight w:val="968"/>
        </w:trPr>
        <w:tc>
          <w:tcPr>
            <w:tcW w:w="2263" w:type="dxa"/>
            <w:vMerge/>
            <w:vAlign w:val="center"/>
          </w:tcPr>
          <w:p w:rsidR="00F01C78" w:rsidRPr="008124F3" w:rsidRDefault="00F01C78" w:rsidP="005C45B1">
            <w:pPr>
              <w:jc w:val="center"/>
              <w:rPr>
                <w:rFonts w:ascii="Times New Roman" w:hAnsi="Times New Roman" w:cs="Times New Roman"/>
                <w:color w:val="000000"/>
                <w:sz w:val="22"/>
                <w:szCs w:val="18"/>
              </w:rPr>
            </w:pPr>
          </w:p>
        </w:tc>
        <w:tc>
          <w:tcPr>
            <w:tcW w:w="1474" w:type="dxa"/>
            <w:vMerge/>
            <w:vAlign w:val="center"/>
          </w:tcPr>
          <w:p w:rsidR="00F01C78" w:rsidRPr="008124F3" w:rsidRDefault="00F01C78" w:rsidP="005C45B1">
            <w:pPr>
              <w:jc w:val="center"/>
              <w:rPr>
                <w:rFonts w:ascii="Times New Roman" w:hAnsi="Times New Roman" w:cs="Times New Roman"/>
                <w:color w:val="000000"/>
                <w:sz w:val="22"/>
                <w:szCs w:val="18"/>
              </w:rPr>
            </w:pPr>
          </w:p>
        </w:tc>
        <w:tc>
          <w:tcPr>
            <w:tcW w:w="1125" w:type="dxa"/>
            <w:vMerge/>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p>
        </w:tc>
        <w:tc>
          <w:tcPr>
            <w:tcW w:w="1876" w:type="dxa"/>
            <w:vMerge/>
            <w:vAlign w:val="center"/>
          </w:tcPr>
          <w:p w:rsidR="00F01C78" w:rsidRPr="008124F3" w:rsidRDefault="00F01C78" w:rsidP="005C45B1">
            <w:pPr>
              <w:jc w:val="center"/>
              <w:rPr>
                <w:rFonts w:ascii="Times New Roman" w:hAnsi="Times New Roman" w:cs="Times New Roman"/>
                <w:sz w:val="22"/>
                <w:szCs w:val="19"/>
                <w:lang w:eastAsia="ru-RU"/>
              </w:rPr>
            </w:pPr>
          </w:p>
        </w:tc>
        <w:tc>
          <w:tcPr>
            <w:tcW w:w="1342" w:type="dxa"/>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Поручительство Фонда, </w:t>
            </w:r>
            <w:proofErr w:type="spellStart"/>
            <w:r w:rsidRPr="008124F3">
              <w:rPr>
                <w:sz w:val="22"/>
                <w:szCs w:val="19"/>
              </w:rPr>
              <w:t>млн.руб</w:t>
            </w:r>
            <w:proofErr w:type="spellEnd"/>
            <w:r w:rsidRPr="008124F3">
              <w:rPr>
                <w:sz w:val="22"/>
                <w:szCs w:val="19"/>
              </w:rPr>
              <w:t>.</w:t>
            </w:r>
          </w:p>
        </w:tc>
        <w:tc>
          <w:tcPr>
            <w:tcW w:w="1684" w:type="dxa"/>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Гарантия АО «Корпорация «МСП», млн. руб.</w:t>
            </w:r>
          </w:p>
        </w:tc>
      </w:tr>
      <w:tr w:rsidR="00F01C78" w:rsidRPr="00580975" w:rsidTr="00004FEA">
        <w:tc>
          <w:tcPr>
            <w:tcW w:w="2263" w:type="dxa"/>
          </w:tcPr>
          <w:p w:rsidR="00F01C78" w:rsidRPr="008124F3" w:rsidRDefault="00F01C78" w:rsidP="005C45B1">
            <w:pPr>
              <w:jc w:val="both"/>
              <w:rPr>
                <w:rFonts w:ascii="Times New Roman" w:hAnsi="Times New Roman" w:cs="Times New Roman"/>
                <w:color w:val="000000"/>
                <w:sz w:val="22"/>
                <w:szCs w:val="18"/>
              </w:rPr>
            </w:pPr>
            <w:r w:rsidRPr="008124F3">
              <w:rPr>
                <w:color w:val="000000"/>
                <w:sz w:val="22"/>
                <w:szCs w:val="18"/>
              </w:rPr>
              <w:t>20</w:t>
            </w:r>
            <w:r w:rsidR="000C695E">
              <w:rPr>
                <w:color w:val="000000"/>
                <w:sz w:val="22"/>
                <w:szCs w:val="18"/>
              </w:rPr>
              <w:t>20</w:t>
            </w:r>
            <w:r w:rsidRPr="008124F3">
              <w:rPr>
                <w:color w:val="000000"/>
                <w:sz w:val="22"/>
                <w:szCs w:val="18"/>
              </w:rPr>
              <w:t xml:space="preserve"> год</w:t>
            </w:r>
          </w:p>
        </w:tc>
        <w:tc>
          <w:tcPr>
            <w:tcW w:w="1474" w:type="dxa"/>
            <w:vAlign w:val="center"/>
          </w:tcPr>
          <w:p w:rsidR="00F01C78" w:rsidRPr="008124F3" w:rsidRDefault="000C695E" w:rsidP="005C45B1">
            <w:pPr>
              <w:jc w:val="center"/>
              <w:rPr>
                <w:rFonts w:ascii="Times New Roman" w:hAnsi="Times New Roman" w:cs="Times New Roman"/>
                <w:color w:val="000000"/>
                <w:sz w:val="22"/>
                <w:szCs w:val="18"/>
              </w:rPr>
            </w:pPr>
            <w:r>
              <w:rPr>
                <w:color w:val="000000"/>
                <w:sz w:val="22"/>
                <w:szCs w:val="18"/>
              </w:rPr>
              <w:t>3</w:t>
            </w:r>
          </w:p>
        </w:tc>
        <w:tc>
          <w:tcPr>
            <w:tcW w:w="1125" w:type="dxa"/>
            <w:vAlign w:val="center"/>
          </w:tcPr>
          <w:p w:rsidR="00F01C78" w:rsidRPr="008124F3" w:rsidRDefault="000C695E" w:rsidP="005C45B1">
            <w:pPr>
              <w:jc w:val="center"/>
              <w:rPr>
                <w:rFonts w:ascii="Times New Roman" w:hAnsi="Times New Roman" w:cs="Times New Roman"/>
                <w:color w:val="000000"/>
                <w:sz w:val="22"/>
                <w:szCs w:val="18"/>
              </w:rPr>
            </w:pPr>
            <w:r>
              <w:rPr>
                <w:color w:val="000000"/>
                <w:sz w:val="22"/>
                <w:szCs w:val="18"/>
              </w:rPr>
              <w:t>361</w:t>
            </w:r>
            <w:r w:rsidR="00F01C78" w:rsidRPr="008124F3">
              <w:rPr>
                <w:color w:val="000000"/>
                <w:sz w:val="22"/>
                <w:szCs w:val="18"/>
              </w:rPr>
              <w:t>,0</w:t>
            </w:r>
          </w:p>
        </w:tc>
        <w:tc>
          <w:tcPr>
            <w:tcW w:w="1876"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221</w:t>
            </w:r>
            <w:r w:rsidR="00F01C78" w:rsidRPr="008124F3">
              <w:rPr>
                <w:color w:val="000000"/>
                <w:sz w:val="22"/>
                <w:szCs w:val="18"/>
              </w:rPr>
              <w:t>,</w:t>
            </w:r>
            <w:r>
              <w:rPr>
                <w:color w:val="000000"/>
                <w:sz w:val="22"/>
                <w:szCs w:val="18"/>
              </w:rPr>
              <w:t>5</w:t>
            </w:r>
          </w:p>
        </w:tc>
        <w:tc>
          <w:tcPr>
            <w:tcW w:w="1342"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2</w:t>
            </w:r>
            <w:r w:rsidR="00F01C78" w:rsidRPr="008124F3">
              <w:rPr>
                <w:color w:val="000000"/>
                <w:sz w:val="22"/>
                <w:szCs w:val="18"/>
              </w:rPr>
              <w:t>5,0</w:t>
            </w:r>
          </w:p>
        </w:tc>
        <w:tc>
          <w:tcPr>
            <w:tcW w:w="1684"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196</w:t>
            </w:r>
            <w:r w:rsidR="00F01C78" w:rsidRPr="008124F3">
              <w:rPr>
                <w:color w:val="000000"/>
                <w:sz w:val="22"/>
                <w:szCs w:val="18"/>
              </w:rPr>
              <w:t>,</w:t>
            </w:r>
            <w:r>
              <w:rPr>
                <w:color w:val="000000"/>
                <w:sz w:val="22"/>
                <w:szCs w:val="18"/>
              </w:rPr>
              <w:t>5</w:t>
            </w:r>
          </w:p>
        </w:tc>
      </w:tr>
      <w:tr w:rsidR="00F01C78" w:rsidRPr="00580975" w:rsidTr="00004FEA">
        <w:tc>
          <w:tcPr>
            <w:tcW w:w="2263" w:type="dxa"/>
          </w:tcPr>
          <w:p w:rsidR="00F01C78" w:rsidRPr="008124F3" w:rsidRDefault="00F01C78" w:rsidP="005C45B1">
            <w:pPr>
              <w:jc w:val="both"/>
              <w:rPr>
                <w:rFonts w:ascii="Times New Roman" w:hAnsi="Times New Roman" w:cs="Times New Roman"/>
                <w:color w:val="000000"/>
                <w:sz w:val="22"/>
                <w:szCs w:val="18"/>
                <w:lang w:val="en-US"/>
              </w:rPr>
            </w:pPr>
            <w:r w:rsidRPr="008124F3">
              <w:rPr>
                <w:color w:val="000000"/>
                <w:sz w:val="22"/>
                <w:szCs w:val="18"/>
              </w:rPr>
              <w:t>20</w:t>
            </w:r>
            <w:r w:rsidR="000C695E">
              <w:rPr>
                <w:color w:val="000000"/>
                <w:sz w:val="22"/>
                <w:szCs w:val="18"/>
              </w:rPr>
              <w:t>2</w:t>
            </w:r>
            <w:r w:rsidRPr="008124F3">
              <w:rPr>
                <w:color w:val="000000"/>
                <w:sz w:val="22"/>
                <w:szCs w:val="18"/>
              </w:rPr>
              <w:t>1 год</w:t>
            </w:r>
          </w:p>
        </w:tc>
        <w:tc>
          <w:tcPr>
            <w:tcW w:w="1474"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1</w:t>
            </w:r>
          </w:p>
        </w:tc>
        <w:tc>
          <w:tcPr>
            <w:tcW w:w="1125"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5</w:t>
            </w:r>
            <w:r w:rsidR="00E5629C">
              <w:rPr>
                <w:color w:val="000000"/>
                <w:sz w:val="22"/>
                <w:szCs w:val="18"/>
              </w:rPr>
              <w:t>0</w:t>
            </w:r>
            <w:r w:rsidRPr="008124F3">
              <w:rPr>
                <w:color w:val="000000"/>
                <w:sz w:val="22"/>
                <w:szCs w:val="18"/>
              </w:rPr>
              <w:t>,0</w:t>
            </w:r>
          </w:p>
        </w:tc>
        <w:tc>
          <w:tcPr>
            <w:tcW w:w="1876"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35</w:t>
            </w:r>
            <w:r w:rsidR="00F01C78" w:rsidRPr="008124F3">
              <w:rPr>
                <w:color w:val="000000"/>
                <w:sz w:val="22"/>
                <w:szCs w:val="18"/>
              </w:rPr>
              <w:t>,</w:t>
            </w:r>
            <w:r>
              <w:rPr>
                <w:color w:val="000000"/>
                <w:sz w:val="22"/>
                <w:szCs w:val="18"/>
              </w:rPr>
              <w:t>0</w:t>
            </w:r>
          </w:p>
        </w:tc>
        <w:tc>
          <w:tcPr>
            <w:tcW w:w="1342"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1</w:t>
            </w:r>
            <w:r w:rsidR="00E5629C">
              <w:rPr>
                <w:color w:val="000000"/>
                <w:sz w:val="22"/>
                <w:szCs w:val="18"/>
              </w:rPr>
              <w:t>0</w:t>
            </w:r>
            <w:r w:rsidRPr="008124F3">
              <w:rPr>
                <w:color w:val="000000"/>
                <w:sz w:val="22"/>
                <w:szCs w:val="18"/>
              </w:rPr>
              <w:t>,</w:t>
            </w:r>
            <w:r w:rsidR="00E5629C">
              <w:rPr>
                <w:color w:val="000000"/>
                <w:sz w:val="22"/>
                <w:szCs w:val="18"/>
              </w:rPr>
              <w:t>0</w:t>
            </w:r>
          </w:p>
        </w:tc>
        <w:tc>
          <w:tcPr>
            <w:tcW w:w="1684"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25</w:t>
            </w:r>
            <w:r w:rsidR="00F01C78" w:rsidRPr="008124F3">
              <w:rPr>
                <w:color w:val="000000"/>
                <w:sz w:val="22"/>
                <w:szCs w:val="18"/>
              </w:rPr>
              <w:t>,0</w:t>
            </w:r>
          </w:p>
        </w:tc>
      </w:tr>
      <w:tr w:rsidR="00F01C78" w:rsidRPr="00580975" w:rsidTr="00004FEA">
        <w:tc>
          <w:tcPr>
            <w:tcW w:w="2263" w:type="dxa"/>
          </w:tcPr>
          <w:p w:rsidR="00F01C78" w:rsidRPr="008124F3" w:rsidRDefault="000C695E" w:rsidP="00004FEA">
            <w:pPr>
              <w:ind w:firstLine="34"/>
              <w:jc w:val="both"/>
              <w:rPr>
                <w:rFonts w:ascii="Times New Roman" w:hAnsi="Times New Roman" w:cs="Times New Roman"/>
                <w:color w:val="000000"/>
                <w:sz w:val="22"/>
                <w:szCs w:val="18"/>
              </w:rPr>
            </w:pPr>
            <w:r>
              <w:rPr>
                <w:color w:val="000000"/>
                <w:sz w:val="22"/>
                <w:szCs w:val="18"/>
              </w:rPr>
              <w:t xml:space="preserve">11 месяцев </w:t>
            </w:r>
            <w:r w:rsidR="00F01C78" w:rsidRPr="008124F3">
              <w:rPr>
                <w:color w:val="000000"/>
                <w:sz w:val="22"/>
                <w:szCs w:val="18"/>
              </w:rPr>
              <w:t>20</w:t>
            </w:r>
            <w:r>
              <w:rPr>
                <w:color w:val="000000"/>
                <w:sz w:val="22"/>
                <w:szCs w:val="18"/>
              </w:rPr>
              <w:t>22</w:t>
            </w:r>
            <w:r w:rsidR="00F01C78" w:rsidRPr="008124F3">
              <w:rPr>
                <w:color w:val="000000"/>
                <w:sz w:val="22"/>
                <w:szCs w:val="18"/>
              </w:rPr>
              <w:t xml:space="preserve"> год</w:t>
            </w:r>
            <w:r>
              <w:rPr>
                <w:color w:val="000000"/>
                <w:sz w:val="22"/>
                <w:szCs w:val="18"/>
              </w:rPr>
              <w:t>а</w:t>
            </w:r>
          </w:p>
        </w:tc>
        <w:tc>
          <w:tcPr>
            <w:tcW w:w="1474" w:type="dxa"/>
            <w:vAlign w:val="center"/>
          </w:tcPr>
          <w:p w:rsidR="00F01C78" w:rsidRPr="008124F3" w:rsidRDefault="000C695E" w:rsidP="005C45B1">
            <w:pPr>
              <w:jc w:val="center"/>
              <w:rPr>
                <w:rFonts w:ascii="Times New Roman" w:hAnsi="Times New Roman" w:cs="Times New Roman"/>
                <w:color w:val="000000"/>
                <w:sz w:val="22"/>
                <w:szCs w:val="18"/>
              </w:rPr>
            </w:pPr>
            <w:r>
              <w:rPr>
                <w:color w:val="000000"/>
                <w:sz w:val="22"/>
                <w:szCs w:val="18"/>
              </w:rPr>
              <w:t>3</w:t>
            </w:r>
          </w:p>
        </w:tc>
        <w:tc>
          <w:tcPr>
            <w:tcW w:w="1125" w:type="dxa"/>
            <w:vAlign w:val="center"/>
          </w:tcPr>
          <w:p w:rsidR="00F01C78" w:rsidRPr="008124F3" w:rsidRDefault="000C695E" w:rsidP="005C45B1">
            <w:pPr>
              <w:jc w:val="center"/>
              <w:rPr>
                <w:rFonts w:ascii="Times New Roman" w:hAnsi="Times New Roman" w:cs="Times New Roman"/>
                <w:color w:val="000000"/>
                <w:sz w:val="22"/>
                <w:szCs w:val="18"/>
              </w:rPr>
            </w:pPr>
            <w:r>
              <w:rPr>
                <w:color w:val="000000"/>
                <w:sz w:val="22"/>
                <w:szCs w:val="18"/>
              </w:rPr>
              <w:t>7</w:t>
            </w:r>
            <w:r w:rsidR="00F01C78" w:rsidRPr="008124F3">
              <w:rPr>
                <w:color w:val="000000"/>
                <w:sz w:val="22"/>
                <w:szCs w:val="18"/>
              </w:rPr>
              <w:t>5,0</w:t>
            </w:r>
          </w:p>
        </w:tc>
        <w:tc>
          <w:tcPr>
            <w:tcW w:w="1876"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40</w:t>
            </w:r>
            <w:r w:rsidR="00F01C78" w:rsidRPr="008124F3">
              <w:rPr>
                <w:color w:val="000000"/>
                <w:sz w:val="22"/>
                <w:szCs w:val="18"/>
              </w:rPr>
              <w:t>,</w:t>
            </w:r>
            <w:r>
              <w:rPr>
                <w:color w:val="000000"/>
                <w:sz w:val="22"/>
                <w:szCs w:val="18"/>
              </w:rPr>
              <w:t>7</w:t>
            </w:r>
          </w:p>
        </w:tc>
        <w:tc>
          <w:tcPr>
            <w:tcW w:w="1342"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16</w:t>
            </w:r>
            <w:r w:rsidR="00F01C78" w:rsidRPr="008124F3">
              <w:rPr>
                <w:color w:val="000000"/>
                <w:sz w:val="22"/>
                <w:szCs w:val="18"/>
              </w:rPr>
              <w:t>,</w:t>
            </w:r>
            <w:r>
              <w:rPr>
                <w:color w:val="000000"/>
                <w:sz w:val="22"/>
                <w:szCs w:val="18"/>
              </w:rPr>
              <w:t>0</w:t>
            </w:r>
          </w:p>
        </w:tc>
        <w:tc>
          <w:tcPr>
            <w:tcW w:w="1684" w:type="dxa"/>
            <w:vAlign w:val="center"/>
          </w:tcPr>
          <w:p w:rsidR="00F01C78" w:rsidRPr="008124F3" w:rsidRDefault="00E5629C" w:rsidP="005C45B1">
            <w:pPr>
              <w:jc w:val="center"/>
              <w:rPr>
                <w:rFonts w:ascii="Times New Roman" w:hAnsi="Times New Roman" w:cs="Times New Roman"/>
                <w:color w:val="000000"/>
                <w:sz w:val="22"/>
                <w:szCs w:val="18"/>
              </w:rPr>
            </w:pPr>
            <w:r>
              <w:rPr>
                <w:color w:val="000000"/>
                <w:sz w:val="22"/>
                <w:szCs w:val="18"/>
              </w:rPr>
              <w:t>24,7</w:t>
            </w:r>
          </w:p>
        </w:tc>
      </w:tr>
      <w:tr w:rsidR="00F01C78" w:rsidRPr="00580975" w:rsidTr="00004FEA">
        <w:tc>
          <w:tcPr>
            <w:tcW w:w="2263" w:type="dxa"/>
            <w:vAlign w:val="center"/>
          </w:tcPr>
          <w:p w:rsidR="00F01C78" w:rsidRPr="008124F3" w:rsidRDefault="00F01C78" w:rsidP="005C45B1">
            <w:pPr>
              <w:rPr>
                <w:rFonts w:ascii="Times New Roman" w:hAnsi="Times New Roman" w:cs="Times New Roman"/>
                <w:b/>
                <w:color w:val="000000" w:themeColor="text1"/>
                <w:sz w:val="22"/>
                <w:szCs w:val="18"/>
              </w:rPr>
            </w:pPr>
            <w:r w:rsidRPr="008124F3">
              <w:rPr>
                <w:b/>
                <w:color w:val="000000" w:themeColor="text1"/>
                <w:sz w:val="22"/>
                <w:szCs w:val="18"/>
              </w:rPr>
              <w:t>ИТОГО</w:t>
            </w:r>
          </w:p>
        </w:tc>
        <w:tc>
          <w:tcPr>
            <w:tcW w:w="1474" w:type="dxa"/>
            <w:vAlign w:val="center"/>
          </w:tcPr>
          <w:p w:rsidR="00F01C78" w:rsidRPr="008124F3" w:rsidRDefault="000C695E" w:rsidP="005C45B1">
            <w:pPr>
              <w:jc w:val="center"/>
              <w:rPr>
                <w:rFonts w:ascii="Times New Roman" w:hAnsi="Times New Roman" w:cs="Times New Roman"/>
                <w:b/>
                <w:color w:val="000000" w:themeColor="text1"/>
                <w:sz w:val="22"/>
                <w:szCs w:val="18"/>
              </w:rPr>
            </w:pPr>
            <w:r>
              <w:rPr>
                <w:b/>
                <w:color w:val="000000" w:themeColor="text1"/>
                <w:sz w:val="22"/>
                <w:szCs w:val="18"/>
              </w:rPr>
              <w:t>8</w:t>
            </w:r>
          </w:p>
        </w:tc>
        <w:tc>
          <w:tcPr>
            <w:tcW w:w="1125" w:type="dxa"/>
            <w:vAlign w:val="center"/>
          </w:tcPr>
          <w:p w:rsidR="00F01C78" w:rsidRPr="008124F3" w:rsidRDefault="000C695E" w:rsidP="005C45B1">
            <w:pPr>
              <w:jc w:val="center"/>
              <w:rPr>
                <w:rFonts w:ascii="Times New Roman" w:hAnsi="Times New Roman" w:cs="Times New Roman"/>
                <w:b/>
                <w:color w:val="000000" w:themeColor="text1"/>
                <w:sz w:val="22"/>
                <w:szCs w:val="18"/>
              </w:rPr>
            </w:pPr>
            <w:r>
              <w:rPr>
                <w:b/>
                <w:color w:val="000000" w:themeColor="text1"/>
                <w:sz w:val="22"/>
                <w:szCs w:val="18"/>
              </w:rPr>
              <w:t>501</w:t>
            </w:r>
            <w:r w:rsidR="00F01C78" w:rsidRPr="008124F3">
              <w:rPr>
                <w:b/>
                <w:color w:val="000000" w:themeColor="text1"/>
                <w:sz w:val="22"/>
                <w:szCs w:val="18"/>
              </w:rPr>
              <w:t>,0</w:t>
            </w:r>
          </w:p>
        </w:tc>
        <w:tc>
          <w:tcPr>
            <w:tcW w:w="1876" w:type="dxa"/>
            <w:vAlign w:val="center"/>
          </w:tcPr>
          <w:p w:rsidR="00F01C78" w:rsidRPr="008124F3" w:rsidRDefault="00E5629C" w:rsidP="005C45B1">
            <w:pPr>
              <w:jc w:val="center"/>
              <w:rPr>
                <w:rFonts w:ascii="Times New Roman" w:hAnsi="Times New Roman" w:cs="Times New Roman"/>
                <w:b/>
                <w:color w:val="000000" w:themeColor="text1"/>
                <w:sz w:val="22"/>
                <w:szCs w:val="18"/>
              </w:rPr>
            </w:pPr>
            <w:r>
              <w:rPr>
                <w:b/>
                <w:color w:val="000000" w:themeColor="text1"/>
                <w:sz w:val="22"/>
                <w:szCs w:val="18"/>
              </w:rPr>
              <w:t>297,2</w:t>
            </w:r>
          </w:p>
        </w:tc>
        <w:tc>
          <w:tcPr>
            <w:tcW w:w="1342" w:type="dxa"/>
            <w:vAlign w:val="center"/>
          </w:tcPr>
          <w:p w:rsidR="00F01C78" w:rsidRPr="008124F3" w:rsidRDefault="00E5629C" w:rsidP="005C45B1">
            <w:pPr>
              <w:jc w:val="center"/>
              <w:rPr>
                <w:rFonts w:ascii="Times New Roman" w:hAnsi="Times New Roman" w:cs="Times New Roman"/>
                <w:b/>
                <w:color w:val="000000" w:themeColor="text1"/>
                <w:sz w:val="22"/>
                <w:szCs w:val="18"/>
              </w:rPr>
            </w:pPr>
            <w:r>
              <w:rPr>
                <w:b/>
                <w:color w:val="000000" w:themeColor="text1"/>
                <w:sz w:val="22"/>
                <w:szCs w:val="18"/>
              </w:rPr>
              <w:t>51,0</w:t>
            </w:r>
          </w:p>
        </w:tc>
        <w:tc>
          <w:tcPr>
            <w:tcW w:w="1684" w:type="dxa"/>
            <w:vAlign w:val="center"/>
          </w:tcPr>
          <w:p w:rsidR="00F01C78" w:rsidRPr="008124F3" w:rsidRDefault="00E5629C" w:rsidP="005C45B1">
            <w:pPr>
              <w:jc w:val="center"/>
              <w:rPr>
                <w:rFonts w:ascii="Times New Roman" w:hAnsi="Times New Roman" w:cs="Times New Roman"/>
                <w:b/>
                <w:color w:val="000000" w:themeColor="text1"/>
                <w:sz w:val="22"/>
                <w:szCs w:val="18"/>
              </w:rPr>
            </w:pPr>
            <w:r>
              <w:rPr>
                <w:b/>
                <w:color w:val="000000" w:themeColor="text1"/>
                <w:sz w:val="22"/>
                <w:szCs w:val="18"/>
              </w:rPr>
              <w:t>246,2</w:t>
            </w:r>
          </w:p>
        </w:tc>
      </w:tr>
    </w:tbl>
    <w:p w:rsidR="00F01C78" w:rsidRPr="00580975" w:rsidRDefault="00F01C78" w:rsidP="00F01C78">
      <w:pPr>
        <w:spacing w:before="120"/>
        <w:jc w:val="both"/>
        <w:rPr>
          <w:sz w:val="26"/>
          <w:szCs w:val="26"/>
        </w:rPr>
      </w:pPr>
    </w:p>
    <w:p w:rsidR="00F01C78" w:rsidRPr="008124F3" w:rsidRDefault="00F01C78" w:rsidP="00F01C78">
      <w:pPr>
        <w:spacing w:before="120"/>
        <w:ind w:firstLine="708"/>
        <w:jc w:val="both"/>
        <w:rPr>
          <w:sz w:val="28"/>
          <w:szCs w:val="26"/>
        </w:rPr>
      </w:pPr>
      <w:r w:rsidRPr="00600E51">
        <w:rPr>
          <w:sz w:val="28"/>
          <w:szCs w:val="26"/>
        </w:rPr>
        <w:t xml:space="preserve">За весь период деятельности Фонда в рамках заключенных договоров поручительства было произведено выплат по обязательствам субъектов малого и среднего предпринимательства, возникших перед банками-партнерами, на сумму </w:t>
      </w:r>
      <w:r w:rsidR="004E3B2A" w:rsidRPr="00004FEA">
        <w:rPr>
          <w:sz w:val="28"/>
          <w:szCs w:val="26"/>
        </w:rPr>
        <w:t xml:space="preserve">96,6 </w:t>
      </w:r>
      <w:r w:rsidRPr="00600E51">
        <w:rPr>
          <w:sz w:val="28"/>
          <w:szCs w:val="26"/>
        </w:rPr>
        <w:t>млн. руб., в том числе за период 20</w:t>
      </w:r>
      <w:r w:rsidR="00632CDF" w:rsidRPr="00600E51">
        <w:rPr>
          <w:sz w:val="28"/>
          <w:szCs w:val="26"/>
        </w:rPr>
        <w:t>20</w:t>
      </w:r>
      <w:r w:rsidRPr="00600E51">
        <w:rPr>
          <w:sz w:val="28"/>
          <w:szCs w:val="26"/>
        </w:rPr>
        <w:t>-</w:t>
      </w:r>
      <w:r w:rsidR="00004FEA">
        <w:rPr>
          <w:sz w:val="28"/>
          <w:szCs w:val="26"/>
        </w:rPr>
        <w:t xml:space="preserve"> 11 месяцев </w:t>
      </w:r>
      <w:r w:rsidRPr="00600E51">
        <w:rPr>
          <w:sz w:val="28"/>
          <w:szCs w:val="26"/>
        </w:rPr>
        <w:t>20</w:t>
      </w:r>
      <w:r w:rsidR="00632CDF" w:rsidRPr="00600E51">
        <w:rPr>
          <w:sz w:val="28"/>
          <w:szCs w:val="26"/>
        </w:rPr>
        <w:t>22</w:t>
      </w:r>
      <w:r w:rsidRPr="00600E51">
        <w:rPr>
          <w:sz w:val="28"/>
          <w:szCs w:val="26"/>
        </w:rPr>
        <w:t xml:space="preserve"> гг. – </w:t>
      </w:r>
      <w:r w:rsidR="00600E51" w:rsidRPr="00004FEA">
        <w:rPr>
          <w:sz w:val="28"/>
          <w:szCs w:val="26"/>
        </w:rPr>
        <w:t>27,0</w:t>
      </w:r>
      <w:r w:rsidRPr="00600E51">
        <w:rPr>
          <w:sz w:val="28"/>
          <w:szCs w:val="26"/>
        </w:rPr>
        <w:t xml:space="preserve"> млн. руб. (</w:t>
      </w:r>
      <w:r w:rsidR="00600E51" w:rsidRPr="00004FEA">
        <w:rPr>
          <w:sz w:val="28"/>
          <w:szCs w:val="26"/>
        </w:rPr>
        <w:t>27,9</w:t>
      </w:r>
      <w:r w:rsidRPr="00600E51">
        <w:rPr>
          <w:sz w:val="28"/>
          <w:szCs w:val="26"/>
        </w:rPr>
        <w:t xml:space="preserve"> % от общего объема выплат).</w:t>
      </w:r>
    </w:p>
    <w:bookmarkEnd w:id="2"/>
    <w:p w:rsidR="00F01C78" w:rsidRDefault="00600E51" w:rsidP="00F01C78">
      <w:pPr>
        <w:spacing w:before="120"/>
        <w:jc w:val="both"/>
        <w:rPr>
          <w:sz w:val="26"/>
          <w:szCs w:val="26"/>
        </w:rPr>
      </w:pPr>
      <w:r>
        <w:rPr>
          <w:noProof/>
        </w:rPr>
        <w:drawing>
          <wp:inline distT="0" distB="0" distL="0" distR="0" wp14:anchorId="682CAEAC" wp14:editId="1535F678">
            <wp:extent cx="6188659" cy="2743200"/>
            <wp:effectExtent l="0" t="0" r="3175" b="0"/>
            <wp:docPr id="10" name="Диаграмма 10">
              <a:extLst xmlns:a="http://schemas.openxmlformats.org/drawingml/2006/main">
                <a:ext uri="{FF2B5EF4-FFF2-40B4-BE49-F238E27FC236}">
                  <a16:creationId xmlns:a16="http://schemas.microsoft.com/office/drawing/2014/main" id="{C399ECEA-9F8A-40D8-B38B-C5C78E8E5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C78" w:rsidRDefault="00F01C78" w:rsidP="00F01C78">
      <w:pPr>
        <w:spacing w:before="120"/>
        <w:ind w:firstLine="709"/>
        <w:jc w:val="both"/>
        <w:rPr>
          <w:sz w:val="26"/>
          <w:szCs w:val="26"/>
        </w:rPr>
      </w:pPr>
    </w:p>
    <w:p w:rsidR="006F2C39" w:rsidRPr="008124F3" w:rsidRDefault="00F01C78" w:rsidP="008124F3">
      <w:pPr>
        <w:autoSpaceDE w:val="0"/>
        <w:autoSpaceDN w:val="0"/>
        <w:adjustRightInd w:val="0"/>
        <w:ind w:firstLine="567"/>
        <w:jc w:val="both"/>
        <w:rPr>
          <w:sz w:val="26"/>
          <w:szCs w:val="26"/>
          <w:highlight w:val="yellow"/>
        </w:rPr>
      </w:pPr>
      <w:r w:rsidRPr="008A2ABB">
        <w:rPr>
          <w:sz w:val="28"/>
          <w:szCs w:val="28"/>
        </w:rPr>
        <w:t xml:space="preserve">За период </w:t>
      </w:r>
      <w:r w:rsidR="00182549">
        <w:rPr>
          <w:sz w:val="28"/>
          <w:szCs w:val="28"/>
        </w:rPr>
        <w:t xml:space="preserve">с </w:t>
      </w:r>
      <w:r w:rsidRPr="008A2ABB">
        <w:rPr>
          <w:sz w:val="28"/>
          <w:szCs w:val="28"/>
        </w:rPr>
        <w:t>20</w:t>
      </w:r>
      <w:r w:rsidR="00632CDF">
        <w:rPr>
          <w:sz w:val="28"/>
          <w:szCs w:val="28"/>
        </w:rPr>
        <w:t>20</w:t>
      </w:r>
      <w:r w:rsidR="00182549">
        <w:rPr>
          <w:sz w:val="28"/>
          <w:szCs w:val="28"/>
        </w:rPr>
        <w:t xml:space="preserve"> по 01.12.</w:t>
      </w:r>
      <w:r w:rsidRPr="008A2ABB">
        <w:rPr>
          <w:sz w:val="28"/>
          <w:szCs w:val="28"/>
        </w:rPr>
        <w:t>20</w:t>
      </w:r>
      <w:r w:rsidR="00632CDF">
        <w:rPr>
          <w:sz w:val="28"/>
          <w:szCs w:val="28"/>
        </w:rPr>
        <w:t>22</w:t>
      </w:r>
      <w:r w:rsidRPr="008A2ABB">
        <w:rPr>
          <w:sz w:val="28"/>
          <w:szCs w:val="28"/>
        </w:rPr>
        <w:t xml:space="preserve"> гг. Фондом проведена работа по возврату задолженности по договорам поручительства в порядке регресса, в результате которой в доход Фонда </w:t>
      </w:r>
      <w:proofErr w:type="gramStart"/>
      <w:r w:rsidRPr="008A2ABB">
        <w:rPr>
          <w:sz w:val="28"/>
          <w:szCs w:val="28"/>
        </w:rPr>
        <w:t xml:space="preserve">возвращено </w:t>
      </w:r>
      <w:r w:rsidR="00632CDF">
        <w:rPr>
          <w:sz w:val="28"/>
          <w:szCs w:val="28"/>
        </w:rPr>
        <w:t> </w:t>
      </w:r>
      <w:r w:rsidR="00182549">
        <w:rPr>
          <w:sz w:val="28"/>
          <w:szCs w:val="28"/>
        </w:rPr>
        <w:t>1</w:t>
      </w:r>
      <w:proofErr w:type="gramEnd"/>
      <w:r w:rsidR="00182549">
        <w:rPr>
          <w:sz w:val="28"/>
          <w:szCs w:val="28"/>
        </w:rPr>
        <w:t> 368 940,26</w:t>
      </w:r>
      <w:r w:rsidRPr="008A2ABB">
        <w:rPr>
          <w:sz w:val="28"/>
          <w:szCs w:val="28"/>
        </w:rPr>
        <w:t xml:space="preserve"> руб</w:t>
      </w:r>
      <w:r w:rsidRPr="008124F3">
        <w:rPr>
          <w:sz w:val="28"/>
          <w:szCs w:val="28"/>
        </w:rPr>
        <w:t>.</w:t>
      </w:r>
    </w:p>
    <w:p w:rsidR="00271D70" w:rsidRDefault="00271D70" w:rsidP="00271D70">
      <w:pPr>
        <w:keepLines/>
        <w:ind w:firstLine="567"/>
        <w:jc w:val="both"/>
        <w:rPr>
          <w:sz w:val="28"/>
          <w:szCs w:val="28"/>
        </w:rPr>
      </w:pPr>
      <w:r>
        <w:rPr>
          <w:sz w:val="28"/>
          <w:szCs w:val="28"/>
        </w:rPr>
        <w:t xml:space="preserve">В результате проведенной работы по возврату денежных средств, размещенных в депозиты в кредитных организациях </w:t>
      </w:r>
      <w:r w:rsidRPr="00580975">
        <w:rPr>
          <w:sz w:val="28"/>
          <w:szCs w:val="28"/>
        </w:rPr>
        <w:t>(</w:t>
      </w:r>
      <w:r w:rsidRPr="008124F3">
        <w:rPr>
          <w:sz w:val="28"/>
          <w:szCs w:val="28"/>
        </w:rPr>
        <w:t>ПВ-Банк (ЗАО) и ПАО «НОТА-БАНК»</w:t>
      </w:r>
      <w:r w:rsidRPr="00580975">
        <w:rPr>
          <w:sz w:val="28"/>
          <w:szCs w:val="28"/>
        </w:rPr>
        <w:t>)</w:t>
      </w:r>
      <w:r>
        <w:rPr>
          <w:sz w:val="28"/>
          <w:szCs w:val="28"/>
        </w:rPr>
        <w:t>, у которых отозвали лицензии</w:t>
      </w:r>
      <w:r w:rsidR="007E64AA">
        <w:rPr>
          <w:sz w:val="28"/>
          <w:szCs w:val="28"/>
        </w:rPr>
        <w:t>,</w:t>
      </w:r>
      <w:r>
        <w:rPr>
          <w:sz w:val="28"/>
          <w:szCs w:val="28"/>
        </w:rPr>
        <w:t xml:space="preserve"> в Фонд поступили денежные средства в размере </w:t>
      </w:r>
      <w:bdo w:val="ltr">
        <w:r w:rsidR="00182549">
          <w:rPr>
            <w:sz w:val="28"/>
            <w:szCs w:val="28"/>
          </w:rPr>
          <w:t>1 540 489,09</w:t>
        </w:r>
        <w:r w:rsidRPr="00E46520">
          <w:rPr>
            <w:sz w:val="28"/>
            <w:szCs w:val="28"/>
          </w:rPr>
          <w:t>‬</w:t>
        </w:r>
        <w:r>
          <w:rPr>
            <w:sz w:val="28"/>
            <w:szCs w:val="28"/>
          </w:rPr>
          <w:t xml:space="preserve"> </w:t>
        </w:r>
        <w:proofErr w:type="spellStart"/>
        <w:r>
          <w:rPr>
            <w:sz w:val="28"/>
            <w:szCs w:val="28"/>
          </w:rPr>
          <w:t>руб</w:t>
        </w:r>
        <w:proofErr w:type="spellEnd"/>
        <w:r>
          <w:t>‬</w:t>
        </w:r>
        <w:r>
          <w:rPr>
            <w:sz w:val="28"/>
            <w:szCs w:val="28"/>
          </w:rPr>
          <w:t xml:space="preserve">.  </w:t>
        </w:r>
        <w:r w:rsidR="00580975">
          <w:t>‬</w:t>
        </w:r>
        <w:r w:rsidR="0082675E">
          <w:t>‬</w:t>
        </w:r>
        <w:r w:rsidR="00AE1ECA">
          <w:t>‬</w:t>
        </w:r>
        <w:r w:rsidR="00D46210">
          <w:t>‬</w:t>
        </w:r>
        <w:r w:rsidR="00B161AA">
          <w:t>‬</w:t>
        </w:r>
        <w:r w:rsidR="000E147C">
          <w:t>‬</w:t>
        </w:r>
        <w:r w:rsidR="008124F3">
          <w:t>‬</w:t>
        </w:r>
        <w:r w:rsidR="00E455F2">
          <w:t>‬</w:t>
        </w:r>
        <w:r w:rsidR="006730CA">
          <w:t>‬</w:t>
        </w:r>
        <w:r w:rsidR="001D4316">
          <w:t>‬</w:t>
        </w:r>
        <w:r w:rsidR="004B5197">
          <w:t>‬</w:t>
        </w:r>
        <w:r w:rsidR="00975A5B">
          <w:t>‬</w:t>
        </w:r>
        <w:r w:rsidR="0004311D">
          <w:t>‬</w:t>
        </w:r>
        <w:r w:rsidR="00EA2910">
          <w:t>‬</w:t>
        </w:r>
        <w:r w:rsidR="003448BA">
          <w:t>‬</w:t>
        </w:r>
        <w:r w:rsidR="00207340">
          <w:t>‬</w:t>
        </w:r>
        <w:r w:rsidR="009D0E55">
          <w:t>‬</w:t>
        </w:r>
        <w:r w:rsidR="00CB2587">
          <w:t>‬</w:t>
        </w:r>
        <w:r w:rsidR="00702538">
          <w:t>‬</w:t>
        </w:r>
        <w:r w:rsidR="00E86338">
          <w:t>‬</w:t>
        </w:r>
        <w:r w:rsidR="00D03440">
          <w:t>‬</w:t>
        </w:r>
        <w:r w:rsidR="001D3A16">
          <w:t>‬</w:t>
        </w:r>
        <w:r w:rsidR="006001E5">
          <w:t>‬</w:t>
        </w:r>
      </w:bdo>
    </w:p>
    <w:p w:rsidR="00F01C78" w:rsidRPr="008124F3" w:rsidRDefault="00F01C78" w:rsidP="000A0014">
      <w:pPr>
        <w:autoSpaceDE w:val="0"/>
        <w:autoSpaceDN w:val="0"/>
        <w:adjustRightInd w:val="0"/>
        <w:jc w:val="both"/>
        <w:rPr>
          <w:sz w:val="26"/>
          <w:szCs w:val="26"/>
          <w:highlight w:val="yellow"/>
        </w:rPr>
      </w:pPr>
    </w:p>
    <w:p w:rsidR="00EE4365" w:rsidRPr="008124F3" w:rsidRDefault="00EE4365" w:rsidP="00EE4365">
      <w:pPr>
        <w:shd w:val="clear" w:color="auto" w:fill="FFFFFF"/>
        <w:spacing w:after="255" w:line="300" w:lineRule="atLeast"/>
        <w:ind w:firstLine="708"/>
        <w:jc w:val="both"/>
        <w:outlineLvl w:val="1"/>
        <w:rPr>
          <w:rFonts w:eastAsia="Calibri"/>
          <w:sz w:val="28"/>
          <w:szCs w:val="28"/>
          <w:shd w:val="clear" w:color="auto" w:fill="FFFFFF"/>
          <w:lang w:eastAsia="en-US"/>
        </w:rPr>
      </w:pPr>
      <w:r w:rsidRPr="008124F3">
        <w:rPr>
          <w:bCs/>
          <w:sz w:val="28"/>
          <w:szCs w:val="28"/>
        </w:rPr>
        <w:t>Приказом Министерства экономического развития РФ от 28 ноября 2016 г. № 763 «Об утверждении требований к фондам содействия кредитованию (гарантийным фондам, фондам поручительств) и их деятельности» предусматривается определение д</w:t>
      </w:r>
      <w:r w:rsidRPr="008124F3">
        <w:rPr>
          <w:rFonts w:eastAsia="Calibri"/>
          <w:sz w:val="28"/>
          <w:szCs w:val="28"/>
          <w:shd w:val="clear" w:color="auto" w:fill="FFFFFF"/>
          <w:lang w:eastAsia="en-US"/>
        </w:rPr>
        <w:t xml:space="preserve">опустимого размера убытков в связи с </w:t>
      </w:r>
      <w:r w:rsidRPr="008124F3">
        <w:rPr>
          <w:rFonts w:eastAsia="Calibri"/>
          <w:sz w:val="28"/>
          <w:szCs w:val="28"/>
          <w:shd w:val="clear" w:color="auto" w:fill="FFFFFF"/>
          <w:lang w:eastAsia="en-US"/>
        </w:rPr>
        <w:lastRenderedPageBreak/>
        <w:t>исполнением обязательств Фонда по договорам поручительства и (или) независимых гарантий, обеспечивающим исполнение обязательств субъектов МСП</w:t>
      </w:r>
      <w:r w:rsidR="00825F59">
        <w:rPr>
          <w:rFonts w:eastAsia="Calibri"/>
          <w:sz w:val="28"/>
          <w:szCs w:val="28"/>
          <w:shd w:val="clear" w:color="auto" w:fill="FFFFFF"/>
          <w:lang w:eastAsia="en-US"/>
        </w:rPr>
        <w:t>, физических лиц, применяющих специальный налоговый режим «Налог на профессиональный доход»,</w:t>
      </w:r>
      <w:r w:rsidRPr="008124F3">
        <w:rPr>
          <w:rFonts w:eastAsia="Calibri"/>
          <w:sz w:val="28"/>
          <w:szCs w:val="28"/>
          <w:shd w:val="clear" w:color="auto" w:fill="FFFFFF"/>
          <w:lang w:eastAsia="en-US"/>
        </w:rPr>
        <w:t xml:space="preserve"> и  организаций инфраструктуры поддержки (далее - Допустимый размер убытков), который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пунктом 18 статьи 4 Федерального закона от 10 июля 2002 г. № 86-ФЗ «О Центральном Банке Российской Федерации (Банке России)»</w:t>
      </w:r>
      <w:r w:rsidR="00825F59">
        <w:rPr>
          <w:rFonts w:eastAsia="Calibri"/>
          <w:sz w:val="28"/>
          <w:szCs w:val="28"/>
          <w:shd w:val="clear" w:color="auto" w:fill="FFFFFF"/>
          <w:lang w:eastAsia="en-US"/>
        </w:rPr>
        <w:t>, на уровне просроченной задолженности в общем объеме задолженности по кредитам, предоставленным субъектам МСП (в целом по Российской Федерации)</w:t>
      </w:r>
      <w:r w:rsidRPr="008124F3">
        <w:rPr>
          <w:rFonts w:eastAsia="Calibri"/>
          <w:sz w:val="28"/>
          <w:szCs w:val="28"/>
          <w:shd w:val="clear" w:color="auto" w:fill="FFFFFF"/>
          <w:lang w:eastAsia="en-US"/>
        </w:rPr>
        <w:t>.</w:t>
      </w:r>
    </w:p>
    <w:p w:rsidR="00EE4365" w:rsidRPr="008124F3" w:rsidRDefault="00EE4365" w:rsidP="00EE4365">
      <w:pPr>
        <w:shd w:val="clear" w:color="auto" w:fill="FFFFFF"/>
        <w:spacing w:after="255" w:line="300" w:lineRule="atLeast"/>
        <w:ind w:firstLine="708"/>
        <w:jc w:val="both"/>
        <w:outlineLvl w:val="1"/>
        <w:rPr>
          <w:rFonts w:eastAsia="Calibri"/>
          <w:sz w:val="28"/>
          <w:szCs w:val="28"/>
          <w:shd w:val="clear" w:color="auto" w:fill="FFFFFF"/>
          <w:lang w:eastAsia="en-US"/>
        </w:rPr>
      </w:pPr>
      <w:r w:rsidRPr="008124F3">
        <w:rPr>
          <w:rFonts w:eastAsia="Calibri"/>
          <w:sz w:val="28"/>
          <w:szCs w:val="28"/>
          <w:shd w:val="clear" w:color="auto" w:fill="FFFFFF"/>
          <w:lang w:eastAsia="en-US"/>
        </w:rPr>
        <w:t>Фактические значения Допустимого размера убытков за 20</w:t>
      </w:r>
      <w:r w:rsidR="00E67028">
        <w:rPr>
          <w:rFonts w:eastAsia="Calibri"/>
          <w:sz w:val="28"/>
          <w:szCs w:val="28"/>
          <w:shd w:val="clear" w:color="auto" w:fill="FFFFFF"/>
          <w:lang w:eastAsia="en-US"/>
        </w:rPr>
        <w:t>20</w:t>
      </w:r>
      <w:r w:rsidRPr="008124F3">
        <w:rPr>
          <w:rFonts w:eastAsia="Calibri"/>
          <w:sz w:val="28"/>
          <w:szCs w:val="28"/>
          <w:shd w:val="clear" w:color="auto" w:fill="FFFFFF"/>
          <w:lang w:eastAsia="en-US"/>
        </w:rPr>
        <w:t>-20</w:t>
      </w:r>
      <w:r w:rsidR="00E67028">
        <w:rPr>
          <w:rFonts w:eastAsia="Calibri"/>
          <w:sz w:val="28"/>
          <w:szCs w:val="28"/>
          <w:shd w:val="clear" w:color="auto" w:fill="FFFFFF"/>
          <w:lang w:eastAsia="en-US"/>
        </w:rPr>
        <w:t>22</w:t>
      </w:r>
      <w:r w:rsidRPr="008124F3">
        <w:rPr>
          <w:rFonts w:eastAsia="Calibri"/>
          <w:sz w:val="28"/>
          <w:szCs w:val="28"/>
          <w:shd w:val="clear" w:color="auto" w:fill="FFFFFF"/>
          <w:lang w:eastAsia="en-US"/>
        </w:rPr>
        <w:t xml:space="preserve"> гг. отражены в таблице 4.</w:t>
      </w:r>
    </w:p>
    <w:p w:rsidR="00EE4365" w:rsidRPr="008124F3" w:rsidRDefault="00EE4365" w:rsidP="00EE4365">
      <w:pPr>
        <w:shd w:val="clear" w:color="auto" w:fill="FFFFFF"/>
        <w:spacing w:after="255" w:line="300" w:lineRule="atLeast"/>
        <w:ind w:firstLine="708"/>
        <w:jc w:val="right"/>
        <w:outlineLvl w:val="1"/>
        <w:rPr>
          <w:rFonts w:eastAsia="Calibri"/>
          <w:sz w:val="26"/>
          <w:szCs w:val="26"/>
          <w:shd w:val="clear" w:color="auto" w:fill="FFFFFF"/>
          <w:lang w:eastAsia="en-US"/>
        </w:rPr>
      </w:pPr>
      <w:r w:rsidRPr="00EE4365">
        <w:rPr>
          <w:rFonts w:eastAsia="Calibri"/>
          <w:sz w:val="26"/>
          <w:szCs w:val="26"/>
          <w:shd w:val="clear" w:color="auto" w:fill="FFFFFF"/>
          <w:lang w:eastAsia="en-US"/>
        </w:rPr>
        <w:t xml:space="preserve">Таблица </w:t>
      </w:r>
      <w:r w:rsidRPr="008124F3">
        <w:rPr>
          <w:rFonts w:eastAsia="Calibri"/>
          <w:sz w:val="26"/>
          <w:szCs w:val="26"/>
          <w:shd w:val="clear" w:color="auto" w:fill="FFFFFF"/>
          <w:lang w:eastAsia="en-US"/>
        </w:rPr>
        <w:t>4</w:t>
      </w:r>
    </w:p>
    <w:tbl>
      <w:tblPr>
        <w:tblStyle w:val="25"/>
        <w:tblW w:w="0" w:type="auto"/>
        <w:tblLook w:val="04A0" w:firstRow="1" w:lastRow="0" w:firstColumn="1" w:lastColumn="0" w:noHBand="0" w:noVBand="1"/>
      </w:tblPr>
      <w:tblGrid>
        <w:gridCol w:w="1311"/>
        <w:gridCol w:w="1091"/>
        <w:gridCol w:w="1006"/>
        <w:gridCol w:w="1092"/>
        <w:gridCol w:w="1006"/>
        <w:gridCol w:w="1092"/>
        <w:gridCol w:w="1006"/>
        <w:gridCol w:w="1028"/>
        <w:gridCol w:w="1006"/>
      </w:tblGrid>
      <w:tr w:rsidR="00EE4365" w:rsidRPr="00EE4365" w:rsidTr="00AE1ECA">
        <w:trPr>
          <w:trHeight w:val="203"/>
        </w:trPr>
        <w:tc>
          <w:tcPr>
            <w:tcW w:w="1311" w:type="dxa"/>
            <w:vMerge w:val="restart"/>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Допустимый размер убытков</w:t>
            </w:r>
          </w:p>
        </w:tc>
        <w:tc>
          <w:tcPr>
            <w:tcW w:w="2037"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 квартал</w:t>
            </w:r>
          </w:p>
        </w:tc>
        <w:tc>
          <w:tcPr>
            <w:tcW w:w="2038"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 квартал</w:t>
            </w:r>
          </w:p>
        </w:tc>
        <w:tc>
          <w:tcPr>
            <w:tcW w:w="2038"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3 квартал</w:t>
            </w:r>
          </w:p>
        </w:tc>
        <w:tc>
          <w:tcPr>
            <w:tcW w:w="1921"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 квартал</w:t>
            </w:r>
          </w:p>
        </w:tc>
      </w:tr>
      <w:tr w:rsidR="00EE4365" w:rsidRPr="00EE4365" w:rsidTr="008124F3">
        <w:trPr>
          <w:trHeight w:val="345"/>
        </w:trPr>
        <w:tc>
          <w:tcPr>
            <w:tcW w:w="1311" w:type="dxa"/>
            <w:vMerge/>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p>
        </w:tc>
        <w:tc>
          <w:tcPr>
            <w:tcW w:w="1091"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92"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92"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28"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893"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r>
      <w:tr w:rsidR="00EE4365" w:rsidRPr="00E67028" w:rsidTr="00004FEA">
        <w:tc>
          <w:tcPr>
            <w:tcW w:w="1311" w:type="dxa"/>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20</w:t>
            </w:r>
            <w:r w:rsidR="00E67028">
              <w:rPr>
                <w:rFonts w:ascii="Times New Roman" w:hAnsi="Times New Roman"/>
                <w:sz w:val="20"/>
                <w:szCs w:val="26"/>
                <w:shd w:val="clear" w:color="auto" w:fill="FFFFFF"/>
              </w:rPr>
              <w:t>20</w:t>
            </w:r>
          </w:p>
        </w:tc>
        <w:tc>
          <w:tcPr>
            <w:tcW w:w="1091"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11,93</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3,27</w:t>
            </w:r>
          </w:p>
        </w:tc>
        <w:tc>
          <w:tcPr>
            <w:tcW w:w="1092"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11</w:t>
            </w:r>
            <w:r w:rsidR="00EE4365" w:rsidRPr="00E73B89">
              <w:rPr>
                <w:sz w:val="20"/>
                <w:szCs w:val="26"/>
                <w:shd w:val="clear" w:color="auto" w:fill="FFFFFF"/>
              </w:rPr>
              <w:t>,</w:t>
            </w:r>
            <w:r w:rsidRPr="00004FEA">
              <w:rPr>
                <w:sz w:val="20"/>
                <w:szCs w:val="26"/>
                <w:shd w:val="clear" w:color="auto" w:fill="FFFFFF"/>
              </w:rPr>
              <w:t>72</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3</w:t>
            </w:r>
            <w:r w:rsidR="00EE4365" w:rsidRPr="00E73B89">
              <w:rPr>
                <w:sz w:val="20"/>
                <w:szCs w:val="26"/>
                <w:shd w:val="clear" w:color="auto" w:fill="FFFFFF"/>
              </w:rPr>
              <w:t>,</w:t>
            </w:r>
            <w:r w:rsidRPr="00004FEA">
              <w:rPr>
                <w:sz w:val="20"/>
                <w:szCs w:val="26"/>
                <w:shd w:val="clear" w:color="auto" w:fill="FFFFFF"/>
              </w:rPr>
              <w:t>06</w:t>
            </w:r>
          </w:p>
        </w:tc>
        <w:tc>
          <w:tcPr>
            <w:tcW w:w="1092"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11</w:t>
            </w:r>
            <w:r w:rsidR="00EE4365" w:rsidRPr="00E73B89">
              <w:rPr>
                <w:sz w:val="20"/>
                <w:szCs w:val="26"/>
                <w:shd w:val="clear" w:color="auto" w:fill="FFFFFF"/>
              </w:rPr>
              <w:t>,</w:t>
            </w:r>
            <w:r w:rsidRPr="00004FEA">
              <w:rPr>
                <w:sz w:val="20"/>
                <w:szCs w:val="26"/>
                <w:shd w:val="clear" w:color="auto" w:fill="FFFFFF"/>
              </w:rPr>
              <w:t>24</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3</w:t>
            </w:r>
            <w:r w:rsidR="00EE4365" w:rsidRPr="00E73B89">
              <w:rPr>
                <w:sz w:val="20"/>
                <w:szCs w:val="26"/>
                <w:shd w:val="clear" w:color="auto" w:fill="FFFFFF"/>
              </w:rPr>
              <w:t>,</w:t>
            </w:r>
            <w:r w:rsidRPr="00004FEA">
              <w:rPr>
                <w:sz w:val="20"/>
                <w:szCs w:val="26"/>
                <w:shd w:val="clear" w:color="auto" w:fill="FFFFFF"/>
              </w:rPr>
              <w:t>02</w:t>
            </w:r>
          </w:p>
        </w:tc>
        <w:tc>
          <w:tcPr>
            <w:tcW w:w="1028"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11</w:t>
            </w:r>
            <w:r w:rsidR="00EE4365" w:rsidRPr="00E73B89">
              <w:rPr>
                <w:sz w:val="20"/>
                <w:szCs w:val="26"/>
                <w:shd w:val="clear" w:color="auto" w:fill="FFFFFF"/>
              </w:rPr>
              <w:t>,</w:t>
            </w:r>
            <w:r w:rsidRPr="00004FEA">
              <w:rPr>
                <w:sz w:val="20"/>
                <w:szCs w:val="26"/>
                <w:shd w:val="clear" w:color="auto" w:fill="FFFFFF"/>
              </w:rPr>
              <w:t>59</w:t>
            </w:r>
          </w:p>
        </w:tc>
        <w:tc>
          <w:tcPr>
            <w:tcW w:w="893"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2</w:t>
            </w:r>
            <w:r w:rsidR="00EE4365" w:rsidRPr="00E73B89">
              <w:rPr>
                <w:sz w:val="20"/>
                <w:szCs w:val="26"/>
                <w:shd w:val="clear" w:color="auto" w:fill="FFFFFF"/>
              </w:rPr>
              <w:t>,</w:t>
            </w:r>
            <w:r w:rsidRPr="00004FEA">
              <w:rPr>
                <w:sz w:val="20"/>
                <w:szCs w:val="26"/>
                <w:shd w:val="clear" w:color="auto" w:fill="FFFFFF"/>
              </w:rPr>
              <w:t>95</w:t>
            </w:r>
          </w:p>
        </w:tc>
      </w:tr>
      <w:tr w:rsidR="00EE4365" w:rsidRPr="00E67028" w:rsidTr="00004FEA">
        <w:tc>
          <w:tcPr>
            <w:tcW w:w="1311" w:type="dxa"/>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20</w:t>
            </w:r>
            <w:r w:rsidR="00E67028">
              <w:rPr>
                <w:rFonts w:ascii="Times New Roman" w:hAnsi="Times New Roman"/>
                <w:sz w:val="20"/>
                <w:szCs w:val="26"/>
                <w:shd w:val="clear" w:color="auto" w:fill="FFFFFF"/>
              </w:rPr>
              <w:t>21</w:t>
            </w:r>
          </w:p>
        </w:tc>
        <w:tc>
          <w:tcPr>
            <w:tcW w:w="1091"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11,02</w:t>
            </w:r>
            <w:r w:rsidR="00EE4365" w:rsidRPr="00E73B89">
              <w:rPr>
                <w:sz w:val="20"/>
                <w:szCs w:val="26"/>
                <w:shd w:val="clear" w:color="auto" w:fill="FFFFFF"/>
              </w:rPr>
              <w:t>4</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3</w:t>
            </w:r>
            <w:r w:rsidR="00EE4365" w:rsidRPr="00E73B89">
              <w:rPr>
                <w:sz w:val="20"/>
                <w:szCs w:val="26"/>
                <w:shd w:val="clear" w:color="auto" w:fill="FFFFFF"/>
              </w:rPr>
              <w:t>,</w:t>
            </w:r>
            <w:r w:rsidRPr="00004FEA">
              <w:rPr>
                <w:sz w:val="20"/>
                <w:szCs w:val="26"/>
                <w:shd w:val="clear" w:color="auto" w:fill="FFFFFF"/>
              </w:rPr>
              <w:t>03</w:t>
            </w:r>
          </w:p>
        </w:tc>
        <w:tc>
          <w:tcPr>
            <w:tcW w:w="1092" w:type="dxa"/>
            <w:shd w:val="clear" w:color="auto" w:fill="auto"/>
            <w:vAlign w:val="center"/>
          </w:tcPr>
          <w:p w:rsidR="00EE4365" w:rsidRPr="00E73B89" w:rsidRDefault="00EE4365" w:rsidP="00EE4365">
            <w:pPr>
              <w:spacing w:after="255" w:line="300" w:lineRule="atLeast"/>
              <w:jc w:val="center"/>
              <w:outlineLvl w:val="1"/>
              <w:rPr>
                <w:rFonts w:ascii="Times New Roman" w:hAnsi="Times New Roman"/>
                <w:sz w:val="20"/>
                <w:szCs w:val="26"/>
                <w:shd w:val="clear" w:color="auto" w:fill="FFFFFF"/>
              </w:rPr>
            </w:pPr>
            <w:r w:rsidRPr="00E73B89">
              <w:rPr>
                <w:sz w:val="20"/>
                <w:szCs w:val="26"/>
                <w:shd w:val="clear" w:color="auto" w:fill="FFFFFF"/>
              </w:rPr>
              <w:t>1</w:t>
            </w:r>
            <w:r w:rsidR="00E73B89" w:rsidRPr="00004FEA">
              <w:rPr>
                <w:sz w:val="20"/>
                <w:szCs w:val="26"/>
                <w:shd w:val="clear" w:color="auto" w:fill="FFFFFF"/>
              </w:rPr>
              <w:t>0</w:t>
            </w:r>
            <w:r w:rsidRPr="00E73B89">
              <w:rPr>
                <w:sz w:val="20"/>
                <w:szCs w:val="26"/>
                <w:shd w:val="clear" w:color="auto" w:fill="FFFFFF"/>
              </w:rPr>
              <w:t>,</w:t>
            </w:r>
            <w:r w:rsidR="00E73B89" w:rsidRPr="00004FEA">
              <w:rPr>
                <w:sz w:val="20"/>
                <w:szCs w:val="26"/>
                <w:shd w:val="clear" w:color="auto" w:fill="FFFFFF"/>
              </w:rPr>
              <w:t>42</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2</w:t>
            </w:r>
            <w:r w:rsidR="00EE4365" w:rsidRPr="00E73B89">
              <w:rPr>
                <w:sz w:val="20"/>
                <w:szCs w:val="26"/>
                <w:shd w:val="clear" w:color="auto" w:fill="FFFFFF"/>
              </w:rPr>
              <w:t>,</w:t>
            </w:r>
            <w:r w:rsidRPr="00004FEA">
              <w:rPr>
                <w:sz w:val="20"/>
                <w:szCs w:val="26"/>
                <w:shd w:val="clear" w:color="auto" w:fill="FFFFFF"/>
              </w:rPr>
              <w:t>92</w:t>
            </w:r>
          </w:p>
        </w:tc>
        <w:tc>
          <w:tcPr>
            <w:tcW w:w="1092"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9</w:t>
            </w:r>
            <w:r w:rsidR="00EE4365" w:rsidRPr="00E73B89">
              <w:rPr>
                <w:sz w:val="20"/>
                <w:szCs w:val="26"/>
                <w:shd w:val="clear" w:color="auto" w:fill="FFFFFF"/>
              </w:rPr>
              <w:t>,</w:t>
            </w:r>
            <w:r w:rsidRPr="00004FEA">
              <w:rPr>
                <w:sz w:val="20"/>
                <w:szCs w:val="26"/>
                <w:shd w:val="clear" w:color="auto" w:fill="FFFFFF"/>
              </w:rPr>
              <w:t>44</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2</w:t>
            </w:r>
            <w:r w:rsidR="00EE4365" w:rsidRPr="00E73B89">
              <w:rPr>
                <w:sz w:val="20"/>
                <w:szCs w:val="26"/>
                <w:shd w:val="clear" w:color="auto" w:fill="FFFFFF"/>
              </w:rPr>
              <w:t>,</w:t>
            </w:r>
            <w:r w:rsidRPr="00004FEA">
              <w:rPr>
                <w:sz w:val="20"/>
                <w:szCs w:val="26"/>
                <w:shd w:val="clear" w:color="auto" w:fill="FFFFFF"/>
              </w:rPr>
              <w:t>78</w:t>
            </w:r>
          </w:p>
        </w:tc>
        <w:tc>
          <w:tcPr>
            <w:tcW w:w="1028"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9</w:t>
            </w:r>
            <w:r w:rsidR="00EE4365" w:rsidRPr="00E73B89">
              <w:rPr>
                <w:sz w:val="20"/>
                <w:szCs w:val="26"/>
                <w:shd w:val="clear" w:color="auto" w:fill="FFFFFF"/>
              </w:rPr>
              <w:t>,</w:t>
            </w:r>
            <w:r w:rsidRPr="00004FEA">
              <w:rPr>
                <w:sz w:val="20"/>
                <w:szCs w:val="26"/>
                <w:shd w:val="clear" w:color="auto" w:fill="FFFFFF"/>
              </w:rPr>
              <w:t>15</w:t>
            </w:r>
          </w:p>
        </w:tc>
        <w:tc>
          <w:tcPr>
            <w:tcW w:w="893"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2</w:t>
            </w:r>
            <w:r w:rsidR="00EE4365" w:rsidRPr="00E73B89">
              <w:rPr>
                <w:sz w:val="20"/>
                <w:szCs w:val="26"/>
                <w:shd w:val="clear" w:color="auto" w:fill="FFFFFF"/>
              </w:rPr>
              <w:t>,</w:t>
            </w:r>
            <w:r w:rsidRPr="00004FEA">
              <w:rPr>
                <w:sz w:val="20"/>
                <w:szCs w:val="26"/>
                <w:shd w:val="clear" w:color="auto" w:fill="FFFFFF"/>
              </w:rPr>
              <w:t>94</w:t>
            </w:r>
          </w:p>
        </w:tc>
      </w:tr>
      <w:tr w:rsidR="00EE4365" w:rsidRPr="00E67028" w:rsidTr="00004FEA">
        <w:tc>
          <w:tcPr>
            <w:tcW w:w="1311" w:type="dxa"/>
          </w:tcPr>
          <w:p w:rsidR="00EE4365" w:rsidRPr="00EE4365" w:rsidRDefault="00004FEA" w:rsidP="00EE4365">
            <w:pPr>
              <w:spacing w:after="255" w:line="300" w:lineRule="atLeast"/>
              <w:jc w:val="both"/>
              <w:outlineLvl w:val="1"/>
              <w:rPr>
                <w:rFonts w:ascii="Times New Roman" w:hAnsi="Times New Roman"/>
                <w:sz w:val="20"/>
                <w:szCs w:val="26"/>
                <w:shd w:val="clear" w:color="auto" w:fill="FFFFFF"/>
              </w:rPr>
            </w:pPr>
            <w:r>
              <w:rPr>
                <w:rFonts w:ascii="Times New Roman" w:hAnsi="Times New Roman"/>
                <w:sz w:val="20"/>
                <w:szCs w:val="26"/>
                <w:shd w:val="clear" w:color="auto" w:fill="FFFFFF"/>
              </w:rPr>
              <w:t xml:space="preserve">11 месяцев </w:t>
            </w:r>
            <w:r w:rsidR="00EE4365" w:rsidRPr="00EE4365">
              <w:rPr>
                <w:rFonts w:ascii="Times New Roman" w:hAnsi="Times New Roman"/>
                <w:sz w:val="20"/>
                <w:szCs w:val="26"/>
                <w:shd w:val="clear" w:color="auto" w:fill="FFFFFF"/>
              </w:rPr>
              <w:t>20</w:t>
            </w:r>
            <w:r w:rsidR="00E67028">
              <w:rPr>
                <w:rFonts w:ascii="Times New Roman" w:hAnsi="Times New Roman"/>
                <w:sz w:val="20"/>
                <w:szCs w:val="26"/>
                <w:shd w:val="clear" w:color="auto" w:fill="FFFFFF"/>
              </w:rPr>
              <w:t>22</w:t>
            </w:r>
          </w:p>
        </w:tc>
        <w:tc>
          <w:tcPr>
            <w:tcW w:w="1091"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8</w:t>
            </w:r>
            <w:r w:rsidR="00EE4365" w:rsidRPr="00E73B89">
              <w:rPr>
                <w:sz w:val="20"/>
                <w:szCs w:val="26"/>
                <w:shd w:val="clear" w:color="auto" w:fill="FFFFFF"/>
              </w:rPr>
              <w:t>,</w:t>
            </w:r>
            <w:r w:rsidRPr="00004FEA">
              <w:rPr>
                <w:sz w:val="20"/>
                <w:szCs w:val="26"/>
                <w:shd w:val="clear" w:color="auto" w:fill="FFFFFF"/>
              </w:rPr>
              <w:t>2</w:t>
            </w:r>
            <w:r w:rsidR="00EE4365" w:rsidRPr="00E73B89">
              <w:rPr>
                <w:sz w:val="20"/>
                <w:szCs w:val="26"/>
                <w:shd w:val="clear" w:color="auto" w:fill="FFFFFF"/>
              </w:rPr>
              <w:t>3</w:t>
            </w:r>
          </w:p>
        </w:tc>
        <w:tc>
          <w:tcPr>
            <w:tcW w:w="946"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2</w:t>
            </w:r>
            <w:r w:rsidR="00EE4365" w:rsidRPr="00E73B89">
              <w:rPr>
                <w:sz w:val="20"/>
                <w:szCs w:val="26"/>
                <w:shd w:val="clear" w:color="auto" w:fill="FFFFFF"/>
              </w:rPr>
              <w:t>,</w:t>
            </w:r>
            <w:r w:rsidRPr="00004FEA">
              <w:rPr>
                <w:sz w:val="20"/>
                <w:szCs w:val="26"/>
                <w:shd w:val="clear" w:color="auto" w:fill="FFFFFF"/>
              </w:rPr>
              <w:t>89</w:t>
            </w:r>
          </w:p>
        </w:tc>
        <w:tc>
          <w:tcPr>
            <w:tcW w:w="1092"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7</w:t>
            </w:r>
            <w:r w:rsidR="00EE4365" w:rsidRPr="00E73B89">
              <w:rPr>
                <w:sz w:val="20"/>
                <w:szCs w:val="26"/>
                <w:shd w:val="clear" w:color="auto" w:fill="FFFFFF"/>
              </w:rPr>
              <w:t>,</w:t>
            </w:r>
            <w:r w:rsidRPr="00004FEA">
              <w:rPr>
                <w:sz w:val="20"/>
                <w:szCs w:val="26"/>
                <w:shd w:val="clear" w:color="auto" w:fill="FFFFFF"/>
              </w:rPr>
              <w:t>5</w:t>
            </w:r>
            <w:r w:rsidR="00EE4365" w:rsidRPr="00E73B89">
              <w:rPr>
                <w:sz w:val="20"/>
                <w:szCs w:val="26"/>
                <w:shd w:val="clear" w:color="auto" w:fill="FFFFFF"/>
              </w:rPr>
              <w:t>2</w:t>
            </w:r>
          </w:p>
        </w:tc>
        <w:tc>
          <w:tcPr>
            <w:tcW w:w="946" w:type="dxa"/>
            <w:shd w:val="clear" w:color="auto" w:fill="auto"/>
            <w:vAlign w:val="center"/>
          </w:tcPr>
          <w:p w:rsidR="00EE4365" w:rsidRPr="00E73B89" w:rsidRDefault="003A3820" w:rsidP="00EE4365">
            <w:pPr>
              <w:spacing w:after="255" w:line="300" w:lineRule="atLeast"/>
              <w:jc w:val="center"/>
              <w:outlineLvl w:val="1"/>
              <w:rPr>
                <w:rFonts w:ascii="Times New Roman" w:hAnsi="Times New Roman"/>
                <w:sz w:val="20"/>
                <w:szCs w:val="26"/>
                <w:shd w:val="clear" w:color="auto" w:fill="FFFFFF"/>
              </w:rPr>
            </w:pPr>
            <w:r>
              <w:rPr>
                <w:sz w:val="20"/>
                <w:szCs w:val="26"/>
                <w:shd w:val="clear" w:color="auto" w:fill="FFFFFF"/>
              </w:rPr>
              <w:t>3,35</w:t>
            </w:r>
          </w:p>
        </w:tc>
        <w:tc>
          <w:tcPr>
            <w:tcW w:w="1092"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6</w:t>
            </w:r>
            <w:r w:rsidR="00EE4365" w:rsidRPr="00E73B89">
              <w:rPr>
                <w:sz w:val="20"/>
                <w:szCs w:val="26"/>
                <w:shd w:val="clear" w:color="auto" w:fill="FFFFFF"/>
              </w:rPr>
              <w:t>,</w:t>
            </w:r>
            <w:r w:rsidRPr="00004FEA">
              <w:rPr>
                <w:sz w:val="20"/>
                <w:szCs w:val="26"/>
                <w:shd w:val="clear" w:color="auto" w:fill="FFFFFF"/>
              </w:rPr>
              <w:t>90</w:t>
            </w:r>
          </w:p>
        </w:tc>
        <w:tc>
          <w:tcPr>
            <w:tcW w:w="946" w:type="dxa"/>
            <w:shd w:val="clear" w:color="auto" w:fill="auto"/>
            <w:vAlign w:val="center"/>
          </w:tcPr>
          <w:p w:rsidR="00EE4365" w:rsidRPr="00E73B89" w:rsidRDefault="00EE4365" w:rsidP="00EE4365">
            <w:pPr>
              <w:spacing w:after="255" w:line="300" w:lineRule="atLeast"/>
              <w:jc w:val="center"/>
              <w:outlineLvl w:val="1"/>
              <w:rPr>
                <w:rFonts w:ascii="Times New Roman" w:hAnsi="Times New Roman"/>
                <w:sz w:val="20"/>
                <w:szCs w:val="26"/>
                <w:shd w:val="clear" w:color="auto" w:fill="FFFFFF"/>
              </w:rPr>
            </w:pPr>
            <w:r w:rsidRPr="00E73B89">
              <w:rPr>
                <w:sz w:val="20"/>
                <w:szCs w:val="26"/>
                <w:shd w:val="clear" w:color="auto" w:fill="FFFFFF"/>
              </w:rPr>
              <w:t>3,</w:t>
            </w:r>
            <w:r w:rsidR="00E73B89" w:rsidRPr="00004FEA">
              <w:rPr>
                <w:sz w:val="20"/>
                <w:szCs w:val="26"/>
                <w:shd w:val="clear" w:color="auto" w:fill="FFFFFF"/>
              </w:rPr>
              <w:t>18</w:t>
            </w:r>
          </w:p>
        </w:tc>
        <w:tc>
          <w:tcPr>
            <w:tcW w:w="1028"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х</w:t>
            </w:r>
          </w:p>
        </w:tc>
        <w:tc>
          <w:tcPr>
            <w:tcW w:w="893" w:type="dxa"/>
            <w:shd w:val="clear" w:color="auto" w:fill="auto"/>
            <w:vAlign w:val="center"/>
          </w:tcPr>
          <w:p w:rsidR="00EE4365" w:rsidRPr="00E73B89" w:rsidRDefault="00E73B89" w:rsidP="00EE4365">
            <w:pPr>
              <w:spacing w:after="255" w:line="300" w:lineRule="atLeast"/>
              <w:jc w:val="center"/>
              <w:outlineLvl w:val="1"/>
              <w:rPr>
                <w:rFonts w:ascii="Times New Roman" w:hAnsi="Times New Roman"/>
                <w:sz w:val="20"/>
                <w:szCs w:val="26"/>
                <w:shd w:val="clear" w:color="auto" w:fill="FFFFFF"/>
              </w:rPr>
            </w:pPr>
            <w:r w:rsidRPr="00004FEA">
              <w:rPr>
                <w:sz w:val="20"/>
                <w:szCs w:val="26"/>
                <w:shd w:val="clear" w:color="auto" w:fill="FFFFFF"/>
              </w:rPr>
              <w:t>х</w:t>
            </w:r>
          </w:p>
        </w:tc>
      </w:tr>
    </w:tbl>
    <w:p w:rsidR="00EE4365" w:rsidRPr="00EE4365" w:rsidRDefault="00EE4365" w:rsidP="00EE4365">
      <w:pPr>
        <w:shd w:val="clear" w:color="auto" w:fill="FFFFFF"/>
        <w:spacing w:after="255" w:line="300" w:lineRule="atLeast"/>
        <w:ind w:firstLine="708"/>
        <w:jc w:val="both"/>
        <w:outlineLvl w:val="1"/>
        <w:rPr>
          <w:rFonts w:eastAsia="Calibri"/>
          <w:sz w:val="26"/>
          <w:szCs w:val="26"/>
          <w:lang w:eastAsia="en-US"/>
        </w:rPr>
      </w:pPr>
    </w:p>
    <w:p w:rsidR="00EE4365" w:rsidRPr="00EE4365" w:rsidRDefault="00EE4365" w:rsidP="00EE4365">
      <w:pPr>
        <w:shd w:val="clear" w:color="auto" w:fill="FFFFFF"/>
        <w:spacing w:after="255" w:line="300" w:lineRule="atLeast"/>
        <w:ind w:firstLine="708"/>
        <w:jc w:val="both"/>
        <w:outlineLvl w:val="1"/>
        <w:rPr>
          <w:rFonts w:eastAsia="Calibri"/>
          <w:sz w:val="26"/>
          <w:szCs w:val="26"/>
          <w:lang w:eastAsia="en-US"/>
        </w:rPr>
      </w:pPr>
      <w:r w:rsidRPr="00EE4365">
        <w:rPr>
          <w:rFonts w:eastAsia="Calibri"/>
          <w:sz w:val="26"/>
          <w:szCs w:val="26"/>
          <w:lang w:eastAsia="en-US"/>
        </w:rPr>
        <w:t>На протяжении всего анализируемого периода фактический размер убытков не превышал допустимый размер убытков.</w:t>
      </w:r>
    </w:p>
    <w:p w:rsidR="00EE4365" w:rsidRPr="008124F3" w:rsidRDefault="00EE4365" w:rsidP="006F2C39">
      <w:pPr>
        <w:spacing w:before="120"/>
        <w:ind w:firstLine="709"/>
        <w:jc w:val="both"/>
        <w:rPr>
          <w:sz w:val="26"/>
          <w:szCs w:val="26"/>
          <w:highlight w:val="yellow"/>
        </w:rPr>
      </w:pPr>
    </w:p>
    <w:p w:rsidR="00CD70FC" w:rsidRDefault="00CD70FC" w:rsidP="006F2C39">
      <w:pPr>
        <w:pStyle w:val="af5"/>
        <w:autoSpaceDE w:val="0"/>
        <w:autoSpaceDN w:val="0"/>
        <w:adjustRightInd w:val="0"/>
        <w:ind w:left="0" w:firstLine="567"/>
        <w:jc w:val="both"/>
        <w:rPr>
          <w:rFonts w:ascii="Times New Roman" w:hAnsi="Times New Roman"/>
          <w:b/>
          <w:bCs/>
          <w:sz w:val="26"/>
          <w:szCs w:val="26"/>
        </w:rPr>
      </w:pPr>
      <w:r w:rsidRPr="00A43ECA">
        <w:rPr>
          <w:rFonts w:ascii="Times New Roman" w:hAnsi="Times New Roman"/>
          <w:b/>
          <w:sz w:val="26"/>
          <w:szCs w:val="26"/>
        </w:rPr>
        <w:t xml:space="preserve">3.Ежегодные целевые значения ключевых показателей эффективности </w:t>
      </w:r>
      <w:r w:rsidRPr="00A43ECA">
        <w:rPr>
          <w:rFonts w:ascii="Times New Roman" w:hAnsi="Times New Roman"/>
          <w:b/>
          <w:bCs/>
          <w:sz w:val="26"/>
          <w:szCs w:val="26"/>
        </w:rPr>
        <w:t>деятельности Фонда</w:t>
      </w:r>
    </w:p>
    <w:p w:rsidR="00087941" w:rsidRDefault="00087941" w:rsidP="006F2C39">
      <w:pPr>
        <w:pStyle w:val="af5"/>
        <w:autoSpaceDE w:val="0"/>
        <w:autoSpaceDN w:val="0"/>
        <w:adjustRightInd w:val="0"/>
        <w:ind w:left="0" w:firstLine="567"/>
        <w:jc w:val="both"/>
        <w:rPr>
          <w:rFonts w:ascii="Times New Roman" w:hAnsi="Times New Roman"/>
          <w:b/>
          <w:bCs/>
          <w:sz w:val="26"/>
          <w:szCs w:val="26"/>
        </w:rPr>
      </w:pPr>
    </w:p>
    <w:p w:rsidR="00087941" w:rsidRDefault="00087941" w:rsidP="006F2C39">
      <w:pPr>
        <w:pStyle w:val="af5"/>
        <w:autoSpaceDE w:val="0"/>
        <w:autoSpaceDN w:val="0"/>
        <w:adjustRightInd w:val="0"/>
        <w:ind w:left="0" w:firstLine="567"/>
        <w:jc w:val="both"/>
        <w:rPr>
          <w:rFonts w:ascii="Times New Roman" w:hAnsi="Times New Roman"/>
          <w:bCs/>
          <w:sz w:val="26"/>
          <w:szCs w:val="26"/>
        </w:rPr>
      </w:pPr>
      <w:r>
        <w:rPr>
          <w:rFonts w:ascii="Times New Roman" w:hAnsi="Times New Roman"/>
          <w:bCs/>
          <w:sz w:val="26"/>
          <w:szCs w:val="26"/>
        </w:rPr>
        <w:t>Ключевыми показателями эффективности деятельности являются:</w:t>
      </w:r>
    </w:p>
    <w:p w:rsidR="00087941" w:rsidRDefault="00087941" w:rsidP="006F2C39">
      <w:pPr>
        <w:pStyle w:val="af5"/>
        <w:keepLines/>
        <w:numPr>
          <w:ilvl w:val="0"/>
          <w:numId w:val="19"/>
        </w:numPr>
        <w:ind w:left="0" w:firstLine="567"/>
        <w:jc w:val="both"/>
        <w:rPr>
          <w:rFonts w:ascii="Times New Roman" w:hAnsi="Times New Roman"/>
          <w:sz w:val="26"/>
          <w:szCs w:val="26"/>
        </w:rPr>
      </w:pPr>
      <w:r>
        <w:rPr>
          <w:rFonts w:ascii="Times New Roman" w:hAnsi="Times New Roman"/>
          <w:bCs/>
          <w:sz w:val="26"/>
          <w:szCs w:val="26"/>
        </w:rPr>
        <w:t xml:space="preserve">Годовой размер поручительств, предоставленных </w:t>
      </w:r>
      <w:r w:rsidRPr="00A43ECA">
        <w:rPr>
          <w:rFonts w:ascii="Times New Roman" w:hAnsi="Times New Roman"/>
          <w:sz w:val="26"/>
          <w:szCs w:val="26"/>
        </w:rPr>
        <w:t>СМСП и  о</w:t>
      </w:r>
      <w:r w:rsidR="002D1AAA" w:rsidRPr="002D1AAA">
        <w:rPr>
          <w:rFonts w:ascii="Times New Roman" w:hAnsi="Times New Roman"/>
          <w:sz w:val="26"/>
          <w:szCs w:val="26"/>
        </w:rPr>
        <w:t>рганизаци</w:t>
      </w:r>
      <w:r w:rsidR="002D1AAA">
        <w:rPr>
          <w:rFonts w:ascii="Times New Roman" w:hAnsi="Times New Roman"/>
          <w:sz w:val="26"/>
          <w:szCs w:val="26"/>
        </w:rPr>
        <w:t>ям</w:t>
      </w:r>
      <w:r w:rsidRPr="00A43ECA">
        <w:rPr>
          <w:rFonts w:ascii="Times New Roman" w:hAnsi="Times New Roman"/>
          <w:sz w:val="26"/>
          <w:szCs w:val="26"/>
        </w:rPr>
        <w:t xml:space="preserve"> инфраструктуры поддержки</w:t>
      </w:r>
      <w:bookmarkStart w:id="3" w:name="_Hlk90904082"/>
      <w:r w:rsidR="002D1AAA">
        <w:rPr>
          <w:rFonts w:ascii="Times New Roman" w:hAnsi="Times New Roman"/>
          <w:sz w:val="26"/>
          <w:szCs w:val="26"/>
        </w:rPr>
        <w:t>,</w:t>
      </w:r>
      <w:r w:rsidR="00825F59">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bookmarkEnd w:id="3"/>
      <w:r w:rsidR="00825F59">
        <w:rPr>
          <w:rFonts w:ascii="Times New Roman" w:hAnsi="Times New Roman"/>
          <w:sz w:val="26"/>
          <w:szCs w:val="26"/>
        </w:rPr>
        <w:t xml:space="preserve">, </w:t>
      </w:r>
      <w:r w:rsidR="002D1AAA">
        <w:rPr>
          <w:rFonts w:ascii="Times New Roman" w:hAnsi="Times New Roman"/>
          <w:sz w:val="26"/>
          <w:szCs w:val="26"/>
        </w:rPr>
        <w:t xml:space="preserve"> с учетом</w:t>
      </w:r>
      <w:r w:rsidR="00825F59">
        <w:rPr>
          <w:rFonts w:ascii="Times New Roman" w:hAnsi="Times New Roman"/>
          <w:sz w:val="26"/>
          <w:szCs w:val="26"/>
        </w:rPr>
        <w:t xml:space="preserve"> </w:t>
      </w:r>
      <w:r w:rsidR="002D1AAA">
        <w:rPr>
          <w:rFonts w:ascii="Times New Roman" w:hAnsi="Times New Roman"/>
          <w:sz w:val="26"/>
          <w:szCs w:val="26"/>
        </w:rPr>
        <w:t xml:space="preserve"> поручительств</w:t>
      </w:r>
      <w:r w:rsidR="00825F59">
        <w:rPr>
          <w:rFonts w:ascii="Times New Roman" w:hAnsi="Times New Roman"/>
          <w:sz w:val="26"/>
          <w:szCs w:val="26"/>
        </w:rPr>
        <w:t xml:space="preserve"> и (или) независимых гарантий</w:t>
      </w:r>
      <w:r w:rsidR="002D1AAA">
        <w:rPr>
          <w:rFonts w:ascii="Times New Roman" w:hAnsi="Times New Roman"/>
          <w:sz w:val="26"/>
          <w:szCs w:val="26"/>
        </w:rPr>
        <w:t xml:space="preserve">, выданных в рамках </w:t>
      </w:r>
      <w:proofErr w:type="spellStart"/>
      <w:r w:rsidR="002D1AAA">
        <w:rPr>
          <w:rFonts w:ascii="Times New Roman" w:hAnsi="Times New Roman"/>
          <w:sz w:val="26"/>
          <w:szCs w:val="26"/>
        </w:rPr>
        <w:t>согарантий</w:t>
      </w:r>
      <w:proofErr w:type="spellEnd"/>
      <w:r w:rsidR="002D1AAA">
        <w:rPr>
          <w:rFonts w:ascii="Times New Roman" w:hAnsi="Times New Roman"/>
          <w:sz w:val="26"/>
          <w:szCs w:val="26"/>
        </w:rPr>
        <w:t xml:space="preserve"> в части, обеспеченной поручительствами</w:t>
      </w:r>
      <w:r w:rsidR="00825F59">
        <w:rPr>
          <w:rFonts w:ascii="Times New Roman" w:hAnsi="Times New Roman"/>
          <w:sz w:val="26"/>
          <w:szCs w:val="26"/>
        </w:rPr>
        <w:t xml:space="preserve"> и (или) независимыми гарантиями</w:t>
      </w:r>
      <w:r w:rsidR="002D1AAA">
        <w:rPr>
          <w:rFonts w:ascii="Times New Roman" w:hAnsi="Times New Roman"/>
          <w:sz w:val="26"/>
          <w:szCs w:val="26"/>
        </w:rPr>
        <w:t xml:space="preserve"> Фонда (при наличии сделок по </w:t>
      </w:r>
      <w:proofErr w:type="spellStart"/>
      <w:r w:rsidR="002D1AAA">
        <w:rPr>
          <w:rFonts w:ascii="Times New Roman" w:hAnsi="Times New Roman"/>
          <w:sz w:val="26"/>
          <w:szCs w:val="26"/>
        </w:rPr>
        <w:t>согарантии</w:t>
      </w:r>
      <w:proofErr w:type="spellEnd"/>
      <w:r w:rsidR="002D1AAA">
        <w:rPr>
          <w:rFonts w:ascii="Times New Roman" w:hAnsi="Times New Roman"/>
          <w:sz w:val="26"/>
          <w:szCs w:val="26"/>
        </w:rPr>
        <w:t>);</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lastRenderedPageBreak/>
        <w:t xml:space="preserve">Годовой объем привлеченного </w:t>
      </w:r>
      <w:r w:rsidRPr="008A25DB">
        <w:rPr>
          <w:rFonts w:ascii="Times New Roman" w:hAnsi="Times New Roman"/>
          <w:sz w:val="26"/>
          <w:szCs w:val="26"/>
        </w:rPr>
        <w:t>СМСП и  о</w:t>
      </w:r>
      <w:r w:rsidRPr="002D1AAA">
        <w:rPr>
          <w:rFonts w:ascii="Times New Roman" w:hAnsi="Times New Roman"/>
          <w:sz w:val="26"/>
          <w:szCs w:val="26"/>
        </w:rPr>
        <w:t>рганизаци</w:t>
      </w:r>
      <w:r>
        <w:rPr>
          <w:rFonts w:ascii="Times New Roman" w:hAnsi="Times New Roman"/>
          <w:sz w:val="26"/>
          <w:szCs w:val="26"/>
        </w:rPr>
        <w:t>ям</w:t>
      </w:r>
      <w:r w:rsidRPr="008A25DB">
        <w:rPr>
          <w:rFonts w:ascii="Times New Roman" w:hAnsi="Times New Roman"/>
          <w:sz w:val="26"/>
          <w:szCs w:val="26"/>
        </w:rPr>
        <w:t xml:space="preserve"> инфраструктуры поддержки</w:t>
      </w:r>
      <w:r w:rsidR="00825F59">
        <w:rPr>
          <w:rFonts w:ascii="Times New Roman" w:hAnsi="Times New Roman"/>
          <w:sz w:val="26"/>
          <w:szCs w:val="26"/>
        </w:rPr>
        <w:t xml:space="preserve">, </w:t>
      </w:r>
      <w:r>
        <w:rPr>
          <w:rFonts w:ascii="Times New Roman" w:hAnsi="Times New Roman"/>
          <w:sz w:val="26"/>
          <w:szCs w:val="26"/>
        </w:rPr>
        <w:t xml:space="preserve"> </w:t>
      </w:r>
      <w:r w:rsidR="00825F59" w:rsidRPr="00825F59">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r w:rsidR="00825F59">
        <w:rPr>
          <w:rFonts w:ascii="Times New Roman" w:hAnsi="Times New Roman"/>
          <w:sz w:val="26"/>
          <w:szCs w:val="26"/>
        </w:rPr>
        <w:t xml:space="preserve">, </w:t>
      </w:r>
      <w:r>
        <w:rPr>
          <w:rFonts w:ascii="Times New Roman" w:hAnsi="Times New Roman"/>
          <w:sz w:val="26"/>
          <w:szCs w:val="26"/>
        </w:rPr>
        <w:t>финансирования с помощью предоставленных Фондом поручительств</w:t>
      </w:r>
      <w:r w:rsidR="00825F59">
        <w:rPr>
          <w:rFonts w:ascii="Times New Roman" w:hAnsi="Times New Roman"/>
          <w:sz w:val="26"/>
          <w:szCs w:val="26"/>
        </w:rPr>
        <w:t xml:space="preserve"> и (или) независимых гарантий</w:t>
      </w:r>
      <w:r>
        <w:rPr>
          <w:rFonts w:ascii="Times New Roman" w:hAnsi="Times New Roman"/>
          <w:sz w:val="26"/>
          <w:szCs w:val="26"/>
        </w:rPr>
        <w:t xml:space="preserve">, с учетом средств, привлеченных по поручительствам в рамках </w:t>
      </w:r>
      <w:proofErr w:type="spellStart"/>
      <w:r>
        <w:rPr>
          <w:rFonts w:ascii="Times New Roman" w:hAnsi="Times New Roman"/>
          <w:sz w:val="26"/>
          <w:szCs w:val="26"/>
        </w:rPr>
        <w:t>согарантий</w:t>
      </w:r>
      <w:proofErr w:type="spellEnd"/>
      <w:r>
        <w:rPr>
          <w:rFonts w:ascii="Times New Roman" w:hAnsi="Times New Roman"/>
          <w:sz w:val="26"/>
          <w:szCs w:val="26"/>
        </w:rPr>
        <w:t xml:space="preserve"> в части, обеспеченной поручительствами</w:t>
      </w:r>
      <w:r w:rsidR="00825F59">
        <w:rPr>
          <w:rFonts w:ascii="Times New Roman" w:hAnsi="Times New Roman"/>
          <w:sz w:val="26"/>
          <w:szCs w:val="26"/>
        </w:rPr>
        <w:t xml:space="preserve"> и (или) неза</w:t>
      </w:r>
      <w:r w:rsidR="006A01F9">
        <w:rPr>
          <w:rFonts w:ascii="Times New Roman" w:hAnsi="Times New Roman"/>
          <w:sz w:val="26"/>
          <w:szCs w:val="26"/>
        </w:rPr>
        <w:t xml:space="preserve">висимыми гарантиями </w:t>
      </w:r>
      <w:r>
        <w:rPr>
          <w:rFonts w:ascii="Times New Roman" w:hAnsi="Times New Roman"/>
          <w:sz w:val="26"/>
          <w:szCs w:val="26"/>
        </w:rPr>
        <w:t xml:space="preserve">Фонда (при наличии сделок по </w:t>
      </w:r>
      <w:proofErr w:type="spellStart"/>
      <w:r>
        <w:rPr>
          <w:rFonts w:ascii="Times New Roman" w:hAnsi="Times New Roman"/>
          <w:sz w:val="26"/>
          <w:szCs w:val="26"/>
        </w:rPr>
        <w:t>согарантии</w:t>
      </w:r>
      <w:proofErr w:type="spellEnd"/>
      <w:r>
        <w:rPr>
          <w:rFonts w:ascii="Times New Roman" w:hAnsi="Times New Roman"/>
          <w:sz w:val="26"/>
          <w:szCs w:val="26"/>
        </w:rPr>
        <w:t>);</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t>Отношение действующих поручительств</w:t>
      </w:r>
      <w:r w:rsidR="006A01F9">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 рассчитанных с учетом поручительств</w:t>
      </w:r>
      <w:r w:rsidR="006A01F9">
        <w:rPr>
          <w:rFonts w:ascii="Times New Roman" w:hAnsi="Times New Roman"/>
          <w:sz w:val="26"/>
          <w:szCs w:val="26"/>
        </w:rPr>
        <w:t xml:space="preserve"> и (или) независимых гарантий</w:t>
      </w:r>
      <w:r>
        <w:rPr>
          <w:rFonts w:ascii="Times New Roman" w:hAnsi="Times New Roman"/>
          <w:sz w:val="26"/>
          <w:szCs w:val="26"/>
        </w:rPr>
        <w:t xml:space="preserve">, предоставленных </w:t>
      </w:r>
      <w:r w:rsidRPr="008A25DB">
        <w:rPr>
          <w:rFonts w:ascii="Times New Roman" w:hAnsi="Times New Roman"/>
          <w:sz w:val="26"/>
          <w:szCs w:val="26"/>
        </w:rPr>
        <w:t>СМСП и  о</w:t>
      </w:r>
      <w:r w:rsidRPr="002D1AAA">
        <w:rPr>
          <w:rFonts w:ascii="Times New Roman" w:hAnsi="Times New Roman"/>
          <w:sz w:val="26"/>
          <w:szCs w:val="26"/>
        </w:rPr>
        <w:t>рганизаци</w:t>
      </w:r>
      <w:r>
        <w:rPr>
          <w:rFonts w:ascii="Times New Roman" w:hAnsi="Times New Roman"/>
          <w:sz w:val="26"/>
          <w:szCs w:val="26"/>
        </w:rPr>
        <w:t>ям</w:t>
      </w:r>
      <w:r w:rsidRPr="008A25DB">
        <w:rPr>
          <w:rFonts w:ascii="Times New Roman" w:hAnsi="Times New Roman"/>
          <w:sz w:val="26"/>
          <w:szCs w:val="26"/>
        </w:rPr>
        <w:t xml:space="preserve"> инфраструктуры поддержки</w:t>
      </w:r>
      <w:r w:rsidR="006A01F9">
        <w:rPr>
          <w:rFonts w:ascii="Times New Roman" w:hAnsi="Times New Roman"/>
          <w:sz w:val="26"/>
          <w:szCs w:val="26"/>
        </w:rPr>
        <w:t xml:space="preserve">, </w:t>
      </w:r>
      <w:r>
        <w:rPr>
          <w:rFonts w:ascii="Times New Roman" w:hAnsi="Times New Roman"/>
          <w:sz w:val="26"/>
          <w:szCs w:val="26"/>
        </w:rPr>
        <w:t xml:space="preserve"> </w:t>
      </w:r>
      <w:r w:rsidR="006A01F9" w:rsidRPr="006A01F9">
        <w:rPr>
          <w:rFonts w:ascii="Times New Roman" w:hAnsi="Times New Roman"/>
          <w:sz w:val="26"/>
          <w:szCs w:val="26"/>
        </w:rPr>
        <w:t>, а также физическим лицам, применяющим специальный налоговый режим «Налог на профессиональный доход»</w:t>
      </w:r>
      <w:r w:rsidR="006A01F9">
        <w:rPr>
          <w:rFonts w:ascii="Times New Roman" w:hAnsi="Times New Roman"/>
          <w:sz w:val="26"/>
          <w:szCs w:val="26"/>
        </w:rPr>
        <w:t xml:space="preserve">, </w:t>
      </w:r>
      <w:r>
        <w:rPr>
          <w:rFonts w:ascii="Times New Roman" w:hAnsi="Times New Roman"/>
          <w:sz w:val="26"/>
          <w:szCs w:val="26"/>
        </w:rPr>
        <w:t xml:space="preserve">в рамках </w:t>
      </w:r>
      <w:proofErr w:type="spellStart"/>
      <w:r>
        <w:rPr>
          <w:rFonts w:ascii="Times New Roman" w:hAnsi="Times New Roman"/>
          <w:sz w:val="26"/>
          <w:szCs w:val="26"/>
        </w:rPr>
        <w:t>согарантий</w:t>
      </w:r>
      <w:proofErr w:type="spellEnd"/>
      <w:r>
        <w:rPr>
          <w:rFonts w:ascii="Times New Roman" w:hAnsi="Times New Roman"/>
          <w:sz w:val="26"/>
          <w:szCs w:val="26"/>
        </w:rPr>
        <w:t xml:space="preserve"> в части, обеспеченной поручительствами</w:t>
      </w:r>
      <w:r w:rsidR="006A01F9">
        <w:rPr>
          <w:rFonts w:ascii="Times New Roman" w:hAnsi="Times New Roman"/>
          <w:sz w:val="26"/>
          <w:szCs w:val="26"/>
        </w:rPr>
        <w:t xml:space="preserve"> и (или) независимыми гарантиями</w:t>
      </w:r>
      <w:r>
        <w:rPr>
          <w:rFonts w:ascii="Times New Roman" w:hAnsi="Times New Roman"/>
          <w:sz w:val="26"/>
          <w:szCs w:val="26"/>
        </w:rPr>
        <w:t xml:space="preserve"> Фонда (при наличии сделок по </w:t>
      </w:r>
      <w:proofErr w:type="spellStart"/>
      <w:r>
        <w:rPr>
          <w:rFonts w:ascii="Times New Roman" w:hAnsi="Times New Roman"/>
          <w:sz w:val="26"/>
          <w:szCs w:val="26"/>
        </w:rPr>
        <w:t>согарантии</w:t>
      </w:r>
      <w:proofErr w:type="spellEnd"/>
      <w:r>
        <w:rPr>
          <w:rFonts w:ascii="Times New Roman" w:hAnsi="Times New Roman"/>
          <w:sz w:val="26"/>
          <w:szCs w:val="26"/>
        </w:rPr>
        <w:t>), к сумме е</w:t>
      </w:r>
      <w:r w:rsidR="006A01F9">
        <w:rPr>
          <w:rFonts w:ascii="Times New Roman" w:hAnsi="Times New Roman"/>
          <w:sz w:val="26"/>
          <w:szCs w:val="26"/>
        </w:rPr>
        <w:t>го</w:t>
      </w:r>
      <w:r>
        <w:rPr>
          <w:rFonts w:ascii="Times New Roman" w:hAnsi="Times New Roman"/>
          <w:sz w:val="26"/>
          <w:szCs w:val="26"/>
        </w:rPr>
        <w:t xml:space="preserve"> гарантийного капитала на отчетную дату;</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t xml:space="preserve">Результат от операционной и финансовой деятельности за год по основному виду деятельности Фонда, рассчитанный по формуле, приведенной в Приложении №1 к  </w:t>
      </w:r>
      <w:r w:rsidR="00C02031">
        <w:rPr>
          <w:rFonts w:ascii="Times New Roman" w:hAnsi="Times New Roman"/>
          <w:sz w:val="26"/>
          <w:szCs w:val="26"/>
        </w:rPr>
        <w:t>Приказу Минэкономразвития России от 28.11.2016 г. №763 «Об утверждении требований к фондам содействия кредитованию (гарантийным фондам, фондам поручительств) и их деятельности»</w:t>
      </w:r>
      <w:r w:rsidR="00A43ECA">
        <w:rPr>
          <w:rFonts w:ascii="Times New Roman" w:hAnsi="Times New Roman"/>
          <w:sz w:val="26"/>
          <w:szCs w:val="26"/>
        </w:rPr>
        <w:t>.</w:t>
      </w:r>
    </w:p>
    <w:p w:rsidR="00A43ECA" w:rsidRDefault="00A43ECA" w:rsidP="006F2C39">
      <w:pPr>
        <w:keepLines/>
        <w:ind w:firstLine="567"/>
        <w:jc w:val="both"/>
        <w:rPr>
          <w:sz w:val="26"/>
          <w:szCs w:val="26"/>
        </w:rPr>
      </w:pPr>
      <w:r>
        <w:rPr>
          <w:sz w:val="26"/>
          <w:szCs w:val="26"/>
        </w:rPr>
        <w:t>При этом, Фонд планирует</w:t>
      </w:r>
      <w:r w:rsidR="00A14AD6">
        <w:rPr>
          <w:sz w:val="26"/>
          <w:szCs w:val="26"/>
        </w:rPr>
        <w:t>, осуществляет текущую</w:t>
      </w:r>
      <w:r>
        <w:rPr>
          <w:sz w:val="26"/>
          <w:szCs w:val="26"/>
        </w:rPr>
        <w:t xml:space="preserve"> деятельность   с учетом следующих принципов:</w:t>
      </w:r>
    </w:p>
    <w:p w:rsidR="00A14AD6" w:rsidRDefault="00A14AD6" w:rsidP="006F2C39">
      <w:pPr>
        <w:pStyle w:val="af5"/>
        <w:keepLines/>
        <w:numPr>
          <w:ilvl w:val="0"/>
          <w:numId w:val="21"/>
        </w:numPr>
        <w:ind w:left="0" w:firstLine="567"/>
        <w:jc w:val="both"/>
        <w:rPr>
          <w:rFonts w:ascii="Times New Roman" w:hAnsi="Times New Roman"/>
          <w:sz w:val="26"/>
          <w:szCs w:val="26"/>
        </w:rPr>
      </w:pPr>
      <w:r>
        <w:rPr>
          <w:rFonts w:ascii="Times New Roman" w:hAnsi="Times New Roman"/>
          <w:sz w:val="26"/>
          <w:szCs w:val="26"/>
        </w:rPr>
        <w:t xml:space="preserve">Источником исполнения обязательств Фонда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временной свободны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доходы от размещения временно свободных денежных средств и вознаграждения от предоставления поручительств и (или) независимых гарантий. </w:t>
      </w:r>
    </w:p>
    <w:p w:rsidR="00EE4365" w:rsidRDefault="00A14AD6">
      <w:pPr>
        <w:pStyle w:val="af5"/>
        <w:keepLines/>
        <w:numPr>
          <w:ilvl w:val="0"/>
          <w:numId w:val="21"/>
        </w:numPr>
        <w:ind w:left="0" w:firstLine="567"/>
        <w:jc w:val="both"/>
        <w:rPr>
          <w:rFonts w:ascii="Times New Roman" w:hAnsi="Times New Roman"/>
          <w:sz w:val="26"/>
          <w:szCs w:val="26"/>
        </w:rPr>
      </w:pPr>
      <w:r w:rsidRPr="008124F3">
        <w:rPr>
          <w:rFonts w:ascii="Times New Roman" w:hAnsi="Times New Roman"/>
          <w:sz w:val="26"/>
          <w:szCs w:val="26"/>
        </w:rPr>
        <w:t>В случае</w:t>
      </w:r>
      <w:r w:rsidR="003B68DB" w:rsidRPr="008124F3">
        <w:rPr>
          <w:rFonts w:ascii="Times New Roman" w:hAnsi="Times New Roman"/>
          <w:sz w:val="26"/>
          <w:szCs w:val="26"/>
        </w:rPr>
        <w:t xml:space="preserve"> недостаточности</w:t>
      </w:r>
      <w:r w:rsidRPr="008124F3">
        <w:rPr>
          <w:rFonts w:ascii="Times New Roman" w:hAnsi="Times New Roman"/>
          <w:sz w:val="26"/>
          <w:szCs w:val="26"/>
        </w:rPr>
        <w:t xml:space="preserve"> доходов от размещения временно свободных денежных средств и вознаграждения от предоставления поручительств  и (или) независимых гарантий Фонда вправе произвести выплату по обязательствам за счет</w:t>
      </w:r>
      <w:r w:rsidR="006A01F9">
        <w:rPr>
          <w:rFonts w:ascii="Times New Roman" w:hAnsi="Times New Roman"/>
          <w:sz w:val="26"/>
          <w:szCs w:val="26"/>
        </w:rPr>
        <w:t xml:space="preserve"> доходов от размещения временно свободных денежных средств и вознаграждения от предоставления поручительств и (или) независимы гарантий Фонда, а в случае недостаточности доходов от размещения временно свободных денежных средств</w:t>
      </w:r>
      <w:r w:rsidRPr="008124F3">
        <w:rPr>
          <w:rFonts w:ascii="Times New Roman" w:hAnsi="Times New Roman"/>
          <w:sz w:val="26"/>
          <w:szCs w:val="26"/>
        </w:rPr>
        <w:t xml:space="preserve"> </w:t>
      </w:r>
      <w:r w:rsidR="006A01F9">
        <w:rPr>
          <w:rFonts w:ascii="Times New Roman" w:hAnsi="Times New Roman"/>
          <w:sz w:val="26"/>
          <w:szCs w:val="26"/>
        </w:rPr>
        <w:t xml:space="preserve">и вознаграждения от предоставления поручительств и (или) независимых гарантий Фонд вправе произвести выплату по обязательствам за счет  </w:t>
      </w:r>
      <w:r w:rsidRPr="008124F3">
        <w:rPr>
          <w:rFonts w:ascii="Times New Roman" w:hAnsi="Times New Roman"/>
          <w:sz w:val="26"/>
          <w:szCs w:val="26"/>
        </w:rPr>
        <w:t>средств гарантийного капитала по решению высшего или иного уполномоченного органа управления Фонда.</w:t>
      </w:r>
    </w:p>
    <w:p w:rsidR="00F05B78" w:rsidRDefault="00F05B78" w:rsidP="00F05B78">
      <w:pPr>
        <w:pStyle w:val="af5"/>
        <w:keepLines/>
        <w:ind w:left="0" w:firstLine="567"/>
        <w:jc w:val="both"/>
        <w:rPr>
          <w:rFonts w:ascii="Times New Roman" w:hAnsi="Times New Roman"/>
          <w:sz w:val="26"/>
          <w:szCs w:val="26"/>
        </w:rPr>
      </w:pPr>
    </w:p>
    <w:p w:rsidR="00F05B78" w:rsidRPr="008124F3" w:rsidRDefault="00F05B78" w:rsidP="0004311D">
      <w:pPr>
        <w:pStyle w:val="af5"/>
        <w:keepLines/>
        <w:ind w:left="0" w:firstLine="567"/>
        <w:jc w:val="both"/>
        <w:rPr>
          <w:rFonts w:ascii="Times New Roman" w:hAnsi="Times New Roman"/>
          <w:sz w:val="26"/>
          <w:szCs w:val="26"/>
        </w:rPr>
      </w:pPr>
      <w:r>
        <w:rPr>
          <w:rFonts w:ascii="Times New Roman" w:hAnsi="Times New Roman"/>
          <w:sz w:val="26"/>
          <w:szCs w:val="26"/>
        </w:rPr>
        <w:lastRenderedPageBreak/>
        <w:t>Фонд подлежит ежегодному ранжированию акционерным обществом «Федеральная корпорация по развитию малого и среднего предпринимательства» с присвоением ранга, характеризующего степень финансовой устойчивости и эффективность деятельности Фонда как участника национальной гарантийной системы, в соответствии с Федеральным законом от 24  июля 2007 г. №209-ФЗ «О развитии малого и среднего предпринимательства в Российской Федерации»</w:t>
      </w:r>
    </w:p>
    <w:tbl>
      <w:tblPr>
        <w:tblStyle w:val="ac"/>
        <w:tblpPr w:leftFromText="180" w:rightFromText="180" w:vertAnchor="text" w:horzAnchor="margin" w:tblpY="2798"/>
        <w:tblW w:w="0" w:type="auto"/>
        <w:tblLayout w:type="fixed"/>
        <w:tblLook w:val="04A0" w:firstRow="1" w:lastRow="0" w:firstColumn="1" w:lastColumn="0" w:noHBand="0" w:noVBand="1"/>
      </w:tblPr>
      <w:tblGrid>
        <w:gridCol w:w="2972"/>
        <w:gridCol w:w="2268"/>
        <w:gridCol w:w="2295"/>
        <w:gridCol w:w="2263"/>
      </w:tblGrid>
      <w:tr w:rsidR="00600E51" w:rsidTr="00702538">
        <w:tc>
          <w:tcPr>
            <w:tcW w:w="2972" w:type="dxa"/>
            <w:vAlign w:val="center"/>
          </w:tcPr>
          <w:p w:rsidR="00600E51" w:rsidRPr="00A75DAA" w:rsidRDefault="00600E51" w:rsidP="00702538">
            <w:pPr>
              <w:autoSpaceDE w:val="0"/>
              <w:autoSpaceDN w:val="0"/>
              <w:adjustRightInd w:val="0"/>
              <w:jc w:val="center"/>
              <w:rPr>
                <w:b/>
                <w:bCs/>
                <w:sz w:val="20"/>
                <w:szCs w:val="20"/>
              </w:rPr>
            </w:pPr>
            <w:r w:rsidRPr="00A75DAA">
              <w:rPr>
                <w:b/>
                <w:bCs/>
                <w:sz w:val="20"/>
                <w:szCs w:val="20"/>
              </w:rPr>
              <w:t>Наименование показателей</w:t>
            </w:r>
          </w:p>
        </w:tc>
        <w:tc>
          <w:tcPr>
            <w:tcW w:w="2268" w:type="dxa"/>
          </w:tcPr>
          <w:p w:rsidR="00600E51" w:rsidRPr="00A75DAA" w:rsidRDefault="00600E51" w:rsidP="00702538">
            <w:pPr>
              <w:autoSpaceDE w:val="0"/>
              <w:autoSpaceDN w:val="0"/>
              <w:adjustRightInd w:val="0"/>
              <w:jc w:val="both"/>
              <w:rPr>
                <w:b/>
                <w:bCs/>
                <w:sz w:val="20"/>
                <w:szCs w:val="20"/>
              </w:rPr>
            </w:pPr>
            <w:r w:rsidRPr="00A75DAA">
              <w:rPr>
                <w:b/>
                <w:bCs/>
                <w:sz w:val="20"/>
                <w:szCs w:val="20"/>
              </w:rPr>
              <w:t>Значение показателей на 20</w:t>
            </w:r>
            <w:r>
              <w:rPr>
                <w:b/>
                <w:bCs/>
                <w:sz w:val="20"/>
                <w:szCs w:val="20"/>
              </w:rPr>
              <w:t>23</w:t>
            </w:r>
            <w:r w:rsidRPr="00A75DAA">
              <w:rPr>
                <w:b/>
                <w:bCs/>
                <w:sz w:val="20"/>
                <w:szCs w:val="20"/>
              </w:rPr>
              <w:t xml:space="preserve"> год (прогноз)</w:t>
            </w:r>
            <w:r>
              <w:rPr>
                <w:b/>
                <w:bCs/>
                <w:sz w:val="20"/>
                <w:szCs w:val="20"/>
              </w:rPr>
              <w:t xml:space="preserve"> в тыс. рублей</w:t>
            </w:r>
          </w:p>
        </w:tc>
        <w:tc>
          <w:tcPr>
            <w:tcW w:w="2295" w:type="dxa"/>
          </w:tcPr>
          <w:p w:rsidR="00600E51" w:rsidRDefault="00600E51" w:rsidP="00702538">
            <w:pPr>
              <w:autoSpaceDE w:val="0"/>
              <w:autoSpaceDN w:val="0"/>
              <w:adjustRightInd w:val="0"/>
              <w:jc w:val="both"/>
              <w:rPr>
                <w:b/>
                <w:bCs/>
                <w:sz w:val="20"/>
                <w:szCs w:val="20"/>
              </w:rPr>
            </w:pPr>
            <w:r w:rsidRPr="00A75DAA">
              <w:rPr>
                <w:b/>
                <w:bCs/>
                <w:sz w:val="20"/>
                <w:szCs w:val="20"/>
              </w:rPr>
              <w:t>Значение показателей на 20</w:t>
            </w:r>
            <w:r>
              <w:rPr>
                <w:b/>
                <w:bCs/>
                <w:sz w:val="20"/>
                <w:szCs w:val="20"/>
              </w:rPr>
              <w:t>24</w:t>
            </w:r>
            <w:r w:rsidRPr="00A75DAA">
              <w:rPr>
                <w:b/>
                <w:bCs/>
                <w:sz w:val="20"/>
                <w:szCs w:val="20"/>
              </w:rPr>
              <w:t xml:space="preserve"> год (прогноз)</w:t>
            </w:r>
          </w:p>
          <w:p w:rsidR="00600E51" w:rsidRPr="00A75DAA" w:rsidRDefault="00600E51" w:rsidP="00702538">
            <w:pPr>
              <w:autoSpaceDE w:val="0"/>
              <w:autoSpaceDN w:val="0"/>
              <w:adjustRightInd w:val="0"/>
              <w:jc w:val="both"/>
              <w:rPr>
                <w:b/>
                <w:bCs/>
                <w:sz w:val="20"/>
                <w:szCs w:val="20"/>
              </w:rPr>
            </w:pPr>
            <w:r>
              <w:rPr>
                <w:b/>
                <w:bCs/>
                <w:sz w:val="20"/>
                <w:szCs w:val="20"/>
              </w:rPr>
              <w:t>в тыс. рублей</w:t>
            </w:r>
          </w:p>
        </w:tc>
        <w:tc>
          <w:tcPr>
            <w:tcW w:w="2263" w:type="dxa"/>
          </w:tcPr>
          <w:p w:rsidR="00600E51" w:rsidRDefault="00600E51" w:rsidP="00702538">
            <w:pPr>
              <w:autoSpaceDE w:val="0"/>
              <w:autoSpaceDN w:val="0"/>
              <w:adjustRightInd w:val="0"/>
              <w:jc w:val="both"/>
              <w:rPr>
                <w:b/>
                <w:bCs/>
                <w:sz w:val="20"/>
                <w:szCs w:val="20"/>
              </w:rPr>
            </w:pPr>
            <w:r w:rsidRPr="00A75DAA">
              <w:rPr>
                <w:b/>
                <w:bCs/>
                <w:sz w:val="20"/>
                <w:szCs w:val="20"/>
              </w:rPr>
              <w:t>Значение показателей на 20</w:t>
            </w:r>
            <w:r>
              <w:rPr>
                <w:b/>
                <w:bCs/>
                <w:sz w:val="20"/>
                <w:szCs w:val="20"/>
              </w:rPr>
              <w:t>25</w:t>
            </w:r>
            <w:r w:rsidRPr="00A75DAA">
              <w:rPr>
                <w:b/>
                <w:bCs/>
                <w:sz w:val="20"/>
                <w:szCs w:val="20"/>
              </w:rPr>
              <w:t xml:space="preserve"> год (прогноз)</w:t>
            </w:r>
          </w:p>
          <w:p w:rsidR="00600E51" w:rsidRPr="00A75DAA" w:rsidRDefault="00600E51" w:rsidP="00702538">
            <w:pPr>
              <w:autoSpaceDE w:val="0"/>
              <w:autoSpaceDN w:val="0"/>
              <w:adjustRightInd w:val="0"/>
              <w:jc w:val="both"/>
              <w:rPr>
                <w:b/>
                <w:bCs/>
                <w:sz w:val="20"/>
                <w:szCs w:val="20"/>
              </w:rPr>
            </w:pPr>
            <w:r>
              <w:rPr>
                <w:b/>
                <w:bCs/>
                <w:sz w:val="20"/>
                <w:szCs w:val="20"/>
              </w:rPr>
              <w:t>в тыс. рублей</w:t>
            </w:r>
          </w:p>
        </w:tc>
      </w:tr>
      <w:tr w:rsidR="00600E51" w:rsidTr="00702538">
        <w:trPr>
          <w:trHeight w:val="570"/>
        </w:trPr>
        <w:tc>
          <w:tcPr>
            <w:tcW w:w="2972" w:type="dxa"/>
          </w:tcPr>
          <w:p w:rsidR="00600E51" w:rsidRPr="00A75DAA" w:rsidRDefault="00600E51" w:rsidP="00702538">
            <w:pPr>
              <w:autoSpaceDE w:val="0"/>
              <w:autoSpaceDN w:val="0"/>
              <w:adjustRightInd w:val="0"/>
              <w:jc w:val="both"/>
              <w:rPr>
                <w:bCs/>
                <w:sz w:val="20"/>
                <w:szCs w:val="20"/>
              </w:rPr>
            </w:pPr>
            <w:r w:rsidRPr="00A75DAA">
              <w:rPr>
                <w:bCs/>
                <w:sz w:val="20"/>
                <w:szCs w:val="20"/>
              </w:rPr>
              <w:t xml:space="preserve">Годовой размер поручительств, предоставленных </w:t>
            </w:r>
            <w:r w:rsidRPr="00A75DAA">
              <w:rPr>
                <w:sz w:val="20"/>
                <w:szCs w:val="20"/>
              </w:rPr>
              <w:t xml:space="preserve">СМСП и (или) организациям инфраструктуры поддержки, с учетом поручительств, выданных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Pr>
                <w:sz w:val="20"/>
                <w:szCs w:val="20"/>
              </w:rPr>
              <w:t>)</w:t>
            </w:r>
          </w:p>
        </w:tc>
        <w:tc>
          <w:tcPr>
            <w:tcW w:w="2268" w:type="dxa"/>
            <w:vAlign w:val="center"/>
          </w:tcPr>
          <w:p w:rsidR="00600E51" w:rsidRPr="0013280C" w:rsidRDefault="00600E51" w:rsidP="00702538">
            <w:pPr>
              <w:autoSpaceDE w:val="0"/>
              <w:autoSpaceDN w:val="0"/>
              <w:adjustRightInd w:val="0"/>
              <w:jc w:val="center"/>
              <w:rPr>
                <w:bCs/>
                <w:sz w:val="20"/>
                <w:szCs w:val="20"/>
              </w:rPr>
            </w:pPr>
            <w:r>
              <w:rPr>
                <w:bCs/>
                <w:sz w:val="20"/>
                <w:szCs w:val="20"/>
              </w:rPr>
              <w:t>500 000,00</w:t>
            </w:r>
          </w:p>
        </w:tc>
        <w:tc>
          <w:tcPr>
            <w:tcW w:w="2295" w:type="dxa"/>
            <w:vAlign w:val="center"/>
          </w:tcPr>
          <w:p w:rsidR="00600E51" w:rsidRPr="0013280C" w:rsidRDefault="00600E51" w:rsidP="00702538">
            <w:pPr>
              <w:autoSpaceDE w:val="0"/>
              <w:autoSpaceDN w:val="0"/>
              <w:adjustRightInd w:val="0"/>
              <w:jc w:val="center"/>
              <w:rPr>
                <w:bCs/>
                <w:sz w:val="20"/>
                <w:szCs w:val="20"/>
              </w:rPr>
            </w:pPr>
            <w:r>
              <w:rPr>
                <w:bCs/>
                <w:sz w:val="20"/>
                <w:szCs w:val="20"/>
              </w:rPr>
              <w:t>520 000,00</w:t>
            </w:r>
          </w:p>
        </w:tc>
        <w:tc>
          <w:tcPr>
            <w:tcW w:w="2263" w:type="dxa"/>
            <w:vAlign w:val="center"/>
          </w:tcPr>
          <w:p w:rsidR="00600E51" w:rsidRPr="0013280C" w:rsidRDefault="00600E51" w:rsidP="00702538">
            <w:pPr>
              <w:autoSpaceDE w:val="0"/>
              <w:autoSpaceDN w:val="0"/>
              <w:adjustRightInd w:val="0"/>
              <w:jc w:val="center"/>
              <w:rPr>
                <w:bCs/>
                <w:sz w:val="20"/>
                <w:szCs w:val="20"/>
              </w:rPr>
            </w:pPr>
            <w:r>
              <w:rPr>
                <w:bCs/>
                <w:sz w:val="20"/>
                <w:szCs w:val="20"/>
              </w:rPr>
              <w:t>550 000,00</w:t>
            </w:r>
          </w:p>
        </w:tc>
      </w:tr>
      <w:tr w:rsidR="00600E51" w:rsidTr="00702538">
        <w:trPr>
          <w:cantSplit/>
          <w:trHeight w:val="624"/>
        </w:trPr>
        <w:tc>
          <w:tcPr>
            <w:tcW w:w="2972" w:type="dxa"/>
          </w:tcPr>
          <w:p w:rsidR="00600E51" w:rsidRPr="00A75DAA" w:rsidRDefault="00600E51" w:rsidP="00702538">
            <w:pPr>
              <w:autoSpaceDE w:val="0"/>
              <w:autoSpaceDN w:val="0"/>
              <w:adjustRightInd w:val="0"/>
              <w:jc w:val="both"/>
              <w:rPr>
                <w:bCs/>
                <w:sz w:val="20"/>
                <w:szCs w:val="20"/>
              </w:rPr>
            </w:pPr>
            <w:r w:rsidRPr="00A75DAA">
              <w:rPr>
                <w:sz w:val="20"/>
                <w:szCs w:val="20"/>
              </w:rPr>
              <w:t xml:space="preserve">Годовой объем привлеченного СМСП и (или) организациям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sidRPr="00A75DAA">
              <w:rPr>
                <w:sz w:val="20"/>
                <w:szCs w:val="20"/>
              </w:rPr>
              <w:t>)</w:t>
            </w:r>
          </w:p>
        </w:tc>
        <w:tc>
          <w:tcPr>
            <w:tcW w:w="2268" w:type="dxa"/>
            <w:vAlign w:val="center"/>
          </w:tcPr>
          <w:p w:rsidR="00600E51" w:rsidRPr="00D75AD0" w:rsidRDefault="00600E51" w:rsidP="00702538">
            <w:pPr>
              <w:jc w:val="center"/>
              <w:rPr>
                <w:sz w:val="20"/>
                <w:szCs w:val="20"/>
              </w:rPr>
            </w:pPr>
            <w:r w:rsidRPr="00D75AD0">
              <w:rPr>
                <w:sz w:val="20"/>
                <w:szCs w:val="20"/>
              </w:rPr>
              <w:t>1</w:t>
            </w:r>
            <w:r>
              <w:rPr>
                <w:sz w:val="20"/>
                <w:szCs w:val="20"/>
              </w:rPr>
              <w:t> </w:t>
            </w:r>
            <w:r w:rsidRPr="00D75AD0">
              <w:rPr>
                <w:sz w:val="20"/>
                <w:szCs w:val="20"/>
              </w:rPr>
              <w:t>118</w:t>
            </w:r>
            <w:r>
              <w:rPr>
                <w:sz w:val="20"/>
                <w:szCs w:val="20"/>
              </w:rPr>
              <w:t> 000,00</w:t>
            </w:r>
          </w:p>
        </w:tc>
        <w:tc>
          <w:tcPr>
            <w:tcW w:w="2295" w:type="dxa"/>
            <w:vAlign w:val="center"/>
          </w:tcPr>
          <w:p w:rsidR="00600E51" w:rsidRPr="00D75AD0" w:rsidRDefault="00600E51" w:rsidP="00702538">
            <w:pPr>
              <w:jc w:val="center"/>
              <w:rPr>
                <w:sz w:val="20"/>
                <w:szCs w:val="20"/>
              </w:rPr>
            </w:pPr>
            <w:r>
              <w:rPr>
                <w:sz w:val="20"/>
                <w:szCs w:val="20"/>
              </w:rPr>
              <w:t>1 128 000,00</w:t>
            </w:r>
          </w:p>
        </w:tc>
        <w:tc>
          <w:tcPr>
            <w:tcW w:w="2263" w:type="dxa"/>
            <w:vAlign w:val="center"/>
          </w:tcPr>
          <w:p w:rsidR="00600E51" w:rsidRPr="00D75AD0" w:rsidRDefault="00600E51" w:rsidP="00702538">
            <w:pPr>
              <w:jc w:val="center"/>
              <w:rPr>
                <w:sz w:val="20"/>
                <w:szCs w:val="20"/>
              </w:rPr>
            </w:pPr>
            <w:r>
              <w:rPr>
                <w:sz w:val="20"/>
                <w:szCs w:val="20"/>
              </w:rPr>
              <w:t>1 138 000,00</w:t>
            </w:r>
          </w:p>
        </w:tc>
      </w:tr>
      <w:tr w:rsidR="00600E51" w:rsidRPr="00A75DAA" w:rsidTr="00702538">
        <w:tc>
          <w:tcPr>
            <w:tcW w:w="2972" w:type="dxa"/>
          </w:tcPr>
          <w:p w:rsidR="00600E51" w:rsidRPr="00A75DAA" w:rsidRDefault="00600E51" w:rsidP="00702538">
            <w:pPr>
              <w:autoSpaceDE w:val="0"/>
              <w:autoSpaceDN w:val="0"/>
              <w:adjustRightInd w:val="0"/>
              <w:jc w:val="both"/>
              <w:rPr>
                <w:bCs/>
                <w:sz w:val="20"/>
                <w:szCs w:val="20"/>
              </w:rPr>
            </w:pPr>
            <w:r w:rsidRPr="00A75DAA">
              <w:rPr>
                <w:sz w:val="20"/>
                <w:szCs w:val="20"/>
              </w:rPr>
              <w:t xml:space="preserve">Отношение действующих поручительств Фонда, рассчитанных с учетом поручительств, предоставленных СМСП и (или) организациям инфраструктуры поддержки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sidRPr="00A75DAA">
              <w:rPr>
                <w:sz w:val="20"/>
                <w:szCs w:val="20"/>
              </w:rPr>
              <w:t>), к сумме ее гарантийного капитала на отчетную дату</w:t>
            </w:r>
          </w:p>
        </w:tc>
        <w:tc>
          <w:tcPr>
            <w:tcW w:w="2268" w:type="dxa"/>
            <w:vAlign w:val="center"/>
          </w:tcPr>
          <w:p w:rsidR="00600E51" w:rsidRPr="00A75DAA" w:rsidRDefault="00600E51" w:rsidP="00702538">
            <w:pPr>
              <w:autoSpaceDE w:val="0"/>
              <w:autoSpaceDN w:val="0"/>
              <w:adjustRightInd w:val="0"/>
              <w:jc w:val="center"/>
              <w:rPr>
                <w:bCs/>
                <w:sz w:val="20"/>
                <w:szCs w:val="20"/>
              </w:rPr>
            </w:pPr>
            <w:r>
              <w:rPr>
                <w:bCs/>
                <w:sz w:val="20"/>
                <w:szCs w:val="20"/>
              </w:rPr>
              <w:t>2,</w:t>
            </w:r>
            <w:r w:rsidR="003A3820">
              <w:rPr>
                <w:bCs/>
                <w:sz w:val="20"/>
                <w:szCs w:val="20"/>
              </w:rPr>
              <w:t>6</w:t>
            </w:r>
          </w:p>
        </w:tc>
        <w:tc>
          <w:tcPr>
            <w:tcW w:w="2295" w:type="dxa"/>
            <w:vAlign w:val="center"/>
          </w:tcPr>
          <w:p w:rsidR="00600E51" w:rsidRPr="00A75DAA" w:rsidRDefault="003A3820" w:rsidP="00702538">
            <w:pPr>
              <w:autoSpaceDE w:val="0"/>
              <w:autoSpaceDN w:val="0"/>
              <w:adjustRightInd w:val="0"/>
              <w:jc w:val="center"/>
              <w:rPr>
                <w:bCs/>
                <w:sz w:val="20"/>
                <w:szCs w:val="20"/>
              </w:rPr>
            </w:pPr>
            <w:r>
              <w:rPr>
                <w:bCs/>
                <w:sz w:val="20"/>
                <w:szCs w:val="20"/>
              </w:rPr>
              <w:t>2</w:t>
            </w:r>
            <w:r w:rsidR="00600E51">
              <w:rPr>
                <w:bCs/>
                <w:sz w:val="20"/>
                <w:szCs w:val="20"/>
              </w:rPr>
              <w:t>,</w:t>
            </w:r>
            <w:r>
              <w:rPr>
                <w:bCs/>
                <w:sz w:val="20"/>
                <w:szCs w:val="20"/>
              </w:rPr>
              <w:t>7</w:t>
            </w:r>
          </w:p>
        </w:tc>
        <w:tc>
          <w:tcPr>
            <w:tcW w:w="2263" w:type="dxa"/>
            <w:vAlign w:val="center"/>
          </w:tcPr>
          <w:p w:rsidR="00600E51" w:rsidRPr="00A75DAA" w:rsidRDefault="003A3820" w:rsidP="00702538">
            <w:pPr>
              <w:autoSpaceDE w:val="0"/>
              <w:autoSpaceDN w:val="0"/>
              <w:adjustRightInd w:val="0"/>
              <w:jc w:val="center"/>
              <w:rPr>
                <w:bCs/>
                <w:sz w:val="20"/>
                <w:szCs w:val="20"/>
              </w:rPr>
            </w:pPr>
            <w:r>
              <w:rPr>
                <w:bCs/>
                <w:sz w:val="20"/>
                <w:szCs w:val="20"/>
              </w:rPr>
              <w:t>2</w:t>
            </w:r>
            <w:r w:rsidR="00600E51">
              <w:rPr>
                <w:bCs/>
                <w:sz w:val="20"/>
                <w:szCs w:val="20"/>
              </w:rPr>
              <w:t>,</w:t>
            </w:r>
            <w:r>
              <w:rPr>
                <w:bCs/>
                <w:sz w:val="20"/>
                <w:szCs w:val="20"/>
              </w:rPr>
              <w:t>8</w:t>
            </w:r>
          </w:p>
        </w:tc>
      </w:tr>
      <w:tr w:rsidR="00600E51" w:rsidRPr="00A75DAA" w:rsidTr="00702538">
        <w:tc>
          <w:tcPr>
            <w:tcW w:w="2972" w:type="dxa"/>
          </w:tcPr>
          <w:p w:rsidR="00600E51" w:rsidRPr="008E4464" w:rsidRDefault="00600E51" w:rsidP="00702538">
            <w:pPr>
              <w:autoSpaceDE w:val="0"/>
              <w:autoSpaceDN w:val="0"/>
              <w:adjustRightInd w:val="0"/>
              <w:jc w:val="both"/>
              <w:rPr>
                <w:bCs/>
                <w:sz w:val="20"/>
                <w:szCs w:val="20"/>
              </w:rPr>
            </w:pPr>
            <w:r w:rsidRPr="008E4464">
              <w:rPr>
                <w:sz w:val="20"/>
                <w:szCs w:val="20"/>
              </w:rPr>
              <w:t xml:space="preserve">Результат от операционной и финансовой деятельности за год по основному виду деятельности Фонда, рассчитанный по формуле, приведенной в Приложении №1 к  Приказу Минэкономразвития </w:t>
            </w:r>
            <w:r w:rsidRPr="008E4464">
              <w:rPr>
                <w:sz w:val="20"/>
                <w:szCs w:val="20"/>
              </w:rPr>
              <w:lastRenderedPageBreak/>
              <w:t>России от 28.11.2016 г. №763 «Об утверждении требований к фондам содействия кредитованию (гарантийным фондам, фондам поручительств) и их деятельности»</w:t>
            </w:r>
          </w:p>
        </w:tc>
        <w:tc>
          <w:tcPr>
            <w:tcW w:w="2268" w:type="dxa"/>
            <w:vAlign w:val="center"/>
          </w:tcPr>
          <w:p w:rsidR="00600E51" w:rsidRPr="00B161AA" w:rsidRDefault="00600E51" w:rsidP="00702538">
            <w:pPr>
              <w:autoSpaceDE w:val="0"/>
              <w:autoSpaceDN w:val="0"/>
              <w:adjustRightInd w:val="0"/>
              <w:jc w:val="center"/>
              <w:rPr>
                <w:bCs/>
                <w:sz w:val="20"/>
                <w:szCs w:val="20"/>
              </w:rPr>
            </w:pPr>
            <w:r>
              <w:rPr>
                <w:bCs/>
                <w:sz w:val="20"/>
                <w:szCs w:val="20"/>
              </w:rPr>
              <w:lastRenderedPageBreak/>
              <w:t>6</w:t>
            </w:r>
            <w:r w:rsidRPr="008124F3">
              <w:rPr>
                <w:bCs/>
                <w:sz w:val="20"/>
                <w:szCs w:val="20"/>
              </w:rPr>
              <w:t> </w:t>
            </w:r>
            <w:r>
              <w:rPr>
                <w:bCs/>
                <w:sz w:val="20"/>
                <w:szCs w:val="20"/>
              </w:rPr>
              <w:t>125</w:t>
            </w:r>
            <w:r w:rsidRPr="008124F3">
              <w:rPr>
                <w:bCs/>
                <w:sz w:val="20"/>
                <w:szCs w:val="20"/>
              </w:rPr>
              <w:t>,</w:t>
            </w:r>
            <w:r>
              <w:rPr>
                <w:bCs/>
                <w:sz w:val="20"/>
                <w:szCs w:val="20"/>
              </w:rPr>
              <w:t>60</w:t>
            </w:r>
          </w:p>
        </w:tc>
        <w:tc>
          <w:tcPr>
            <w:tcW w:w="2295" w:type="dxa"/>
            <w:vAlign w:val="center"/>
          </w:tcPr>
          <w:p w:rsidR="00600E51" w:rsidRPr="00B161AA" w:rsidRDefault="00600E51" w:rsidP="00702538">
            <w:pPr>
              <w:autoSpaceDE w:val="0"/>
              <w:autoSpaceDN w:val="0"/>
              <w:adjustRightInd w:val="0"/>
              <w:jc w:val="center"/>
              <w:rPr>
                <w:bCs/>
                <w:sz w:val="20"/>
                <w:szCs w:val="20"/>
              </w:rPr>
            </w:pPr>
            <w:r>
              <w:rPr>
                <w:bCs/>
                <w:sz w:val="20"/>
                <w:szCs w:val="20"/>
              </w:rPr>
              <w:t>6</w:t>
            </w:r>
            <w:r w:rsidRPr="008124F3">
              <w:rPr>
                <w:bCs/>
                <w:sz w:val="20"/>
                <w:szCs w:val="20"/>
              </w:rPr>
              <w:t> </w:t>
            </w:r>
            <w:r>
              <w:rPr>
                <w:bCs/>
                <w:sz w:val="20"/>
                <w:szCs w:val="20"/>
              </w:rPr>
              <w:t>300</w:t>
            </w:r>
            <w:r w:rsidRPr="008124F3">
              <w:rPr>
                <w:bCs/>
                <w:sz w:val="20"/>
                <w:szCs w:val="20"/>
              </w:rPr>
              <w:t>,</w:t>
            </w:r>
            <w:r>
              <w:rPr>
                <w:bCs/>
                <w:sz w:val="20"/>
                <w:szCs w:val="20"/>
              </w:rPr>
              <w:t>00</w:t>
            </w:r>
          </w:p>
        </w:tc>
        <w:tc>
          <w:tcPr>
            <w:tcW w:w="2263" w:type="dxa"/>
            <w:vAlign w:val="center"/>
          </w:tcPr>
          <w:p w:rsidR="00600E51" w:rsidRPr="00B161AA" w:rsidRDefault="00600E51" w:rsidP="00702538">
            <w:pPr>
              <w:autoSpaceDE w:val="0"/>
              <w:autoSpaceDN w:val="0"/>
              <w:adjustRightInd w:val="0"/>
              <w:jc w:val="center"/>
              <w:rPr>
                <w:bCs/>
                <w:sz w:val="20"/>
                <w:szCs w:val="20"/>
              </w:rPr>
            </w:pPr>
            <w:r>
              <w:rPr>
                <w:bCs/>
                <w:sz w:val="20"/>
                <w:szCs w:val="20"/>
              </w:rPr>
              <w:t>6</w:t>
            </w:r>
            <w:r w:rsidRPr="008124F3">
              <w:rPr>
                <w:bCs/>
                <w:sz w:val="20"/>
                <w:szCs w:val="20"/>
              </w:rPr>
              <w:t> </w:t>
            </w:r>
            <w:r>
              <w:rPr>
                <w:bCs/>
                <w:sz w:val="20"/>
                <w:szCs w:val="20"/>
              </w:rPr>
              <w:t>450</w:t>
            </w:r>
            <w:r w:rsidRPr="008124F3">
              <w:rPr>
                <w:bCs/>
                <w:sz w:val="20"/>
                <w:szCs w:val="20"/>
              </w:rPr>
              <w:t>,</w:t>
            </w:r>
            <w:r>
              <w:rPr>
                <w:bCs/>
                <w:sz w:val="20"/>
                <w:szCs w:val="20"/>
              </w:rPr>
              <w:t>0</w:t>
            </w:r>
            <w:r w:rsidRPr="008124F3">
              <w:rPr>
                <w:bCs/>
                <w:sz w:val="20"/>
                <w:szCs w:val="20"/>
              </w:rPr>
              <w:t>0</w:t>
            </w:r>
          </w:p>
        </w:tc>
      </w:tr>
    </w:tbl>
    <w:p w:rsidR="00087941" w:rsidRPr="00A75DAA" w:rsidRDefault="00087941" w:rsidP="006F2C39">
      <w:pPr>
        <w:autoSpaceDE w:val="0"/>
        <w:autoSpaceDN w:val="0"/>
        <w:adjustRightInd w:val="0"/>
        <w:ind w:firstLine="567"/>
        <w:jc w:val="both"/>
        <w:rPr>
          <w:bCs/>
          <w:sz w:val="20"/>
          <w:szCs w:val="20"/>
        </w:rPr>
      </w:pPr>
    </w:p>
    <w:p w:rsidR="00087941" w:rsidRPr="00950F1F" w:rsidRDefault="00087941" w:rsidP="006F2C39">
      <w:pPr>
        <w:pStyle w:val="af5"/>
        <w:autoSpaceDE w:val="0"/>
        <w:autoSpaceDN w:val="0"/>
        <w:adjustRightInd w:val="0"/>
        <w:ind w:left="0" w:firstLine="567"/>
        <w:jc w:val="both"/>
        <w:rPr>
          <w:rFonts w:ascii="Times New Roman" w:hAnsi="Times New Roman"/>
          <w:b/>
          <w:sz w:val="26"/>
          <w:szCs w:val="26"/>
        </w:rPr>
      </w:pPr>
    </w:p>
    <w:p w:rsidR="00950F1F" w:rsidRDefault="00950F1F" w:rsidP="00366176">
      <w:pPr>
        <w:keepLines/>
        <w:ind w:left="360"/>
        <w:jc w:val="center"/>
        <w:rPr>
          <w:b/>
          <w:bCs/>
          <w:sz w:val="26"/>
          <w:szCs w:val="26"/>
        </w:rPr>
      </w:pPr>
      <w:r>
        <w:rPr>
          <w:b/>
          <w:bCs/>
          <w:sz w:val="26"/>
          <w:szCs w:val="26"/>
        </w:rPr>
        <w:t>4.</w:t>
      </w:r>
      <w:r w:rsidRPr="00950F1F">
        <w:rPr>
          <w:b/>
          <w:bCs/>
          <w:sz w:val="26"/>
          <w:szCs w:val="26"/>
        </w:rPr>
        <w:t>Мероприятия по продвижению гарантийных продуктов, расширению партнерской сети и позиционированию Фонда</w:t>
      </w:r>
    </w:p>
    <w:p w:rsidR="00950F1F" w:rsidRDefault="00950F1F" w:rsidP="00366176">
      <w:pPr>
        <w:keepLines/>
        <w:ind w:left="360"/>
        <w:jc w:val="center"/>
        <w:rPr>
          <w:b/>
          <w:bCs/>
          <w:sz w:val="26"/>
          <w:szCs w:val="26"/>
        </w:rPr>
      </w:pPr>
    </w:p>
    <w:p w:rsidR="00950F1F" w:rsidRDefault="00950F1F" w:rsidP="001D4F80">
      <w:pPr>
        <w:keepLines/>
        <w:ind w:firstLine="567"/>
        <w:jc w:val="both"/>
        <w:rPr>
          <w:b/>
          <w:bCs/>
          <w:sz w:val="26"/>
          <w:szCs w:val="26"/>
        </w:rPr>
      </w:pPr>
    </w:p>
    <w:p w:rsidR="00950F1F" w:rsidRDefault="00950F1F" w:rsidP="001D4F80">
      <w:pPr>
        <w:keepLines/>
        <w:ind w:firstLine="567"/>
        <w:jc w:val="both"/>
        <w:rPr>
          <w:sz w:val="26"/>
          <w:szCs w:val="26"/>
        </w:rPr>
      </w:pPr>
      <w:r>
        <w:rPr>
          <w:bCs/>
          <w:sz w:val="26"/>
          <w:szCs w:val="26"/>
        </w:rPr>
        <w:t xml:space="preserve">В целях эффективного информирования СМСП </w:t>
      </w:r>
      <w:r w:rsidRPr="00A43ECA">
        <w:rPr>
          <w:sz w:val="26"/>
          <w:szCs w:val="26"/>
        </w:rPr>
        <w:t>и  о</w:t>
      </w:r>
      <w:r w:rsidRPr="002D1AAA">
        <w:rPr>
          <w:sz w:val="26"/>
          <w:szCs w:val="26"/>
        </w:rPr>
        <w:t>рганизаци</w:t>
      </w:r>
      <w:r w:rsidR="00A03D08">
        <w:rPr>
          <w:sz w:val="26"/>
          <w:szCs w:val="26"/>
        </w:rPr>
        <w:t>й</w:t>
      </w:r>
      <w:r w:rsidRPr="00A43ECA">
        <w:rPr>
          <w:sz w:val="26"/>
          <w:szCs w:val="26"/>
        </w:rPr>
        <w:t xml:space="preserve"> инфраструктуры поддержки</w:t>
      </w:r>
      <w:r w:rsidR="001D7570">
        <w:rPr>
          <w:sz w:val="26"/>
          <w:szCs w:val="26"/>
        </w:rPr>
        <w:t xml:space="preserve">, </w:t>
      </w:r>
      <w:r w:rsidR="001D7570" w:rsidRPr="001D7570">
        <w:rPr>
          <w:sz w:val="26"/>
          <w:szCs w:val="26"/>
        </w:rPr>
        <w:t xml:space="preserve">  также физически</w:t>
      </w:r>
      <w:r w:rsidR="001D7570">
        <w:rPr>
          <w:sz w:val="26"/>
          <w:szCs w:val="26"/>
        </w:rPr>
        <w:t>х</w:t>
      </w:r>
      <w:r w:rsidR="001D7570" w:rsidRPr="001D7570">
        <w:rPr>
          <w:sz w:val="26"/>
          <w:szCs w:val="26"/>
        </w:rPr>
        <w:t xml:space="preserve"> лиц, применяющим специальный налоговый режим «Налог на профессиональный доход»</w:t>
      </w:r>
      <w:r w:rsidR="00EE555D">
        <w:rPr>
          <w:sz w:val="26"/>
          <w:szCs w:val="26"/>
        </w:rPr>
        <w:t>, а также финансовых организаций, являющихся партнерами Фонда</w:t>
      </w:r>
      <w:r>
        <w:rPr>
          <w:sz w:val="26"/>
          <w:szCs w:val="26"/>
        </w:rPr>
        <w:t xml:space="preserve"> о гарантийных продуктах Фонда</w:t>
      </w:r>
      <w:r w:rsidR="00A03D08">
        <w:rPr>
          <w:sz w:val="26"/>
          <w:szCs w:val="26"/>
        </w:rPr>
        <w:t xml:space="preserve">, </w:t>
      </w:r>
      <w:r w:rsidR="00EE555D">
        <w:rPr>
          <w:sz w:val="26"/>
          <w:szCs w:val="26"/>
        </w:rPr>
        <w:t>и</w:t>
      </w:r>
      <w:r w:rsidR="00A03D08">
        <w:rPr>
          <w:sz w:val="26"/>
          <w:szCs w:val="26"/>
        </w:rPr>
        <w:t xml:space="preserve">  укрепления положительного имиджа в деловой среде,</w:t>
      </w:r>
      <w:r>
        <w:rPr>
          <w:sz w:val="26"/>
          <w:szCs w:val="26"/>
        </w:rPr>
        <w:t xml:space="preserve"> необходимо применение комплекса различных мер</w:t>
      </w:r>
      <w:r w:rsidR="00EE555D">
        <w:rPr>
          <w:sz w:val="26"/>
          <w:szCs w:val="26"/>
        </w:rPr>
        <w:t>, направленных на информирование об услугах Фонда</w:t>
      </w:r>
      <w:r>
        <w:rPr>
          <w:sz w:val="26"/>
          <w:szCs w:val="26"/>
        </w:rPr>
        <w:t xml:space="preserve"> – от личных встреч и письменных извещений до публикаций сведений в средствах массовой информации</w:t>
      </w:r>
      <w:r w:rsidR="003664D7">
        <w:rPr>
          <w:sz w:val="26"/>
          <w:szCs w:val="26"/>
        </w:rPr>
        <w:t xml:space="preserve"> и социальных сетях</w:t>
      </w:r>
      <w:r>
        <w:rPr>
          <w:sz w:val="26"/>
          <w:szCs w:val="26"/>
        </w:rPr>
        <w:t>. В период действия Программы Фондом на постоянной основе планируется следующий комплекс мероприятий</w:t>
      </w:r>
      <w:r w:rsidR="00164705">
        <w:rPr>
          <w:sz w:val="26"/>
          <w:szCs w:val="26"/>
        </w:rPr>
        <w:t>, направленных на продвижение гарантийных продуктов, расширение партнерской сети и позиционирование Фонда:</w:t>
      </w:r>
    </w:p>
    <w:p w:rsidR="00164705" w:rsidRPr="00164705" w:rsidRDefault="00164705" w:rsidP="001D4F80">
      <w:pPr>
        <w:keepLines/>
        <w:ind w:firstLine="567"/>
        <w:jc w:val="both"/>
        <w:rPr>
          <w:sz w:val="26"/>
          <w:szCs w:val="26"/>
        </w:rPr>
      </w:pPr>
    </w:p>
    <w:p w:rsidR="00164705" w:rsidRPr="00164705" w:rsidRDefault="00164705" w:rsidP="001D4F80">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sidRPr="00164705">
        <w:rPr>
          <w:rFonts w:ascii="Times New Roman" w:hAnsi="Times New Roman"/>
          <w:sz w:val="26"/>
          <w:szCs w:val="26"/>
        </w:rPr>
        <w:t>Личные встречи Директора и сотрудников Фонда с руководителями и сотрудниками коммерческих банков</w:t>
      </w:r>
      <w:r w:rsidR="003664D7">
        <w:rPr>
          <w:rFonts w:ascii="Times New Roman" w:hAnsi="Times New Roman"/>
          <w:sz w:val="26"/>
          <w:szCs w:val="26"/>
        </w:rPr>
        <w:t>, финансовых организаций</w:t>
      </w:r>
      <w:r w:rsidRPr="00164705">
        <w:rPr>
          <w:rFonts w:ascii="Times New Roman" w:hAnsi="Times New Roman"/>
          <w:sz w:val="26"/>
          <w:szCs w:val="26"/>
        </w:rPr>
        <w:t xml:space="preserve"> и представителями малого и среднего </w:t>
      </w:r>
      <w:proofErr w:type="gramStart"/>
      <w:r w:rsidRPr="00164705">
        <w:rPr>
          <w:rFonts w:ascii="Times New Roman" w:hAnsi="Times New Roman"/>
          <w:sz w:val="26"/>
          <w:szCs w:val="26"/>
        </w:rPr>
        <w:t>бизнеса</w:t>
      </w:r>
      <w:r w:rsidR="00A03D08">
        <w:rPr>
          <w:rFonts w:ascii="Times New Roman" w:hAnsi="Times New Roman"/>
          <w:sz w:val="26"/>
          <w:szCs w:val="26"/>
        </w:rPr>
        <w:t xml:space="preserve">, </w:t>
      </w:r>
      <w:r w:rsidR="001D7570" w:rsidRPr="001D7570">
        <w:rPr>
          <w:rFonts w:ascii="Times New Roman" w:hAnsi="Times New Roman"/>
          <w:sz w:val="26"/>
          <w:szCs w:val="26"/>
        </w:rPr>
        <w:t xml:space="preserve">  </w:t>
      </w:r>
      <w:proofErr w:type="gramEnd"/>
      <w:r w:rsidR="001D7570" w:rsidRPr="001D7570">
        <w:rPr>
          <w:rFonts w:ascii="Times New Roman" w:hAnsi="Times New Roman"/>
          <w:sz w:val="26"/>
          <w:szCs w:val="26"/>
        </w:rPr>
        <w:t>физическим</w:t>
      </w:r>
      <w:r w:rsidR="001D7570">
        <w:rPr>
          <w:rFonts w:ascii="Times New Roman" w:hAnsi="Times New Roman"/>
          <w:sz w:val="26"/>
          <w:szCs w:val="26"/>
        </w:rPr>
        <w:t>и</w:t>
      </w:r>
      <w:r w:rsidR="001D7570" w:rsidRPr="001D7570">
        <w:rPr>
          <w:rFonts w:ascii="Times New Roman" w:hAnsi="Times New Roman"/>
          <w:sz w:val="26"/>
          <w:szCs w:val="26"/>
        </w:rPr>
        <w:t xml:space="preserve"> лицам</w:t>
      </w:r>
      <w:r w:rsidR="001D7570">
        <w:rPr>
          <w:rFonts w:ascii="Times New Roman" w:hAnsi="Times New Roman"/>
          <w:sz w:val="26"/>
          <w:szCs w:val="26"/>
        </w:rPr>
        <w:t>и</w:t>
      </w:r>
      <w:r w:rsidR="001D7570" w:rsidRPr="001D7570">
        <w:rPr>
          <w:rFonts w:ascii="Times New Roman" w:hAnsi="Times New Roman"/>
          <w:sz w:val="26"/>
          <w:szCs w:val="26"/>
        </w:rPr>
        <w:t>, применяющим</w:t>
      </w:r>
      <w:r w:rsidR="001D7570">
        <w:rPr>
          <w:rFonts w:ascii="Times New Roman" w:hAnsi="Times New Roman"/>
          <w:sz w:val="26"/>
          <w:szCs w:val="26"/>
        </w:rPr>
        <w:t>и</w:t>
      </w:r>
      <w:r w:rsidR="001D7570" w:rsidRPr="001D7570">
        <w:rPr>
          <w:rFonts w:ascii="Times New Roman" w:hAnsi="Times New Roman"/>
          <w:sz w:val="26"/>
          <w:szCs w:val="26"/>
        </w:rPr>
        <w:t xml:space="preserve"> специальный налоговый режим «Налог на профессиональный доход»</w:t>
      </w:r>
      <w:r w:rsidR="001D7570">
        <w:rPr>
          <w:rFonts w:ascii="Times New Roman" w:hAnsi="Times New Roman"/>
          <w:sz w:val="26"/>
          <w:szCs w:val="26"/>
        </w:rPr>
        <w:t xml:space="preserve">, </w:t>
      </w:r>
      <w:r w:rsidR="00A03D08">
        <w:rPr>
          <w:rFonts w:ascii="Times New Roman" w:hAnsi="Times New Roman"/>
          <w:sz w:val="26"/>
          <w:szCs w:val="26"/>
        </w:rPr>
        <w:t>а также с руководителями и сотрудниками организаций инфраструктуры поддержки субъектов малого и среднего предпринимательства</w:t>
      </w:r>
      <w:r w:rsidRPr="00164705">
        <w:rPr>
          <w:rFonts w:ascii="Times New Roman" w:hAnsi="Times New Roman"/>
          <w:sz w:val="26"/>
          <w:szCs w:val="26"/>
        </w:rPr>
        <w:t xml:space="preserve">. </w:t>
      </w:r>
    </w:p>
    <w:p w:rsidR="00164705" w:rsidRDefault="00164705" w:rsidP="001D4F80">
      <w:pPr>
        <w:pStyle w:val="af5"/>
        <w:keepLines/>
        <w:numPr>
          <w:ilvl w:val="0"/>
          <w:numId w:val="24"/>
        </w:numPr>
        <w:ind w:left="0" w:firstLine="567"/>
        <w:jc w:val="both"/>
        <w:rPr>
          <w:rFonts w:ascii="Times New Roman" w:hAnsi="Times New Roman"/>
          <w:bCs/>
          <w:sz w:val="26"/>
          <w:szCs w:val="26"/>
        </w:rPr>
      </w:pPr>
      <w:r>
        <w:rPr>
          <w:rFonts w:ascii="Times New Roman" w:hAnsi="Times New Roman"/>
          <w:bCs/>
          <w:sz w:val="26"/>
          <w:szCs w:val="26"/>
        </w:rPr>
        <w:t xml:space="preserve">Проведение сотрудниками Фонда на постоянной основе обучения сотрудников банков, </w:t>
      </w:r>
      <w:r w:rsidR="003664D7">
        <w:rPr>
          <w:rFonts w:ascii="Times New Roman" w:hAnsi="Times New Roman"/>
          <w:bCs/>
          <w:sz w:val="26"/>
          <w:szCs w:val="26"/>
        </w:rPr>
        <w:t xml:space="preserve">финансовых организаций - </w:t>
      </w:r>
      <w:r>
        <w:rPr>
          <w:rFonts w:ascii="Times New Roman" w:hAnsi="Times New Roman"/>
          <w:bCs/>
          <w:sz w:val="26"/>
          <w:szCs w:val="26"/>
        </w:rPr>
        <w:t>участников Программы предоставления поручительств Фонда.</w:t>
      </w:r>
    </w:p>
    <w:p w:rsidR="00164705" w:rsidRPr="006610DF" w:rsidRDefault="001D4F80" w:rsidP="001D4F80">
      <w:pPr>
        <w:pStyle w:val="af5"/>
        <w:keepLines/>
        <w:numPr>
          <w:ilvl w:val="0"/>
          <w:numId w:val="24"/>
        </w:numPr>
        <w:ind w:left="0" w:firstLine="567"/>
        <w:jc w:val="both"/>
        <w:rPr>
          <w:rFonts w:ascii="Times New Roman" w:hAnsi="Times New Roman"/>
          <w:bCs/>
          <w:sz w:val="26"/>
          <w:szCs w:val="26"/>
        </w:rPr>
      </w:pPr>
      <w:r>
        <w:rPr>
          <w:rFonts w:ascii="Times New Roman" w:hAnsi="Times New Roman"/>
          <w:bCs/>
          <w:sz w:val="26"/>
          <w:szCs w:val="26"/>
        </w:rPr>
        <w:t>Размещение на официальном сайте Фонда актуальной информации</w:t>
      </w:r>
      <w:r w:rsidR="003664D7">
        <w:rPr>
          <w:rFonts w:ascii="Times New Roman" w:hAnsi="Times New Roman"/>
          <w:bCs/>
          <w:sz w:val="26"/>
          <w:szCs w:val="26"/>
        </w:rPr>
        <w:t xml:space="preserve"> о деятельности Фонда,</w:t>
      </w:r>
      <w:r>
        <w:rPr>
          <w:rFonts w:ascii="Times New Roman" w:hAnsi="Times New Roman"/>
          <w:bCs/>
          <w:sz w:val="26"/>
          <w:szCs w:val="26"/>
        </w:rPr>
        <w:t xml:space="preserve"> о проведении отборов банков</w:t>
      </w:r>
      <w:r w:rsidR="003664D7">
        <w:rPr>
          <w:rFonts w:ascii="Times New Roman" w:hAnsi="Times New Roman"/>
          <w:bCs/>
          <w:sz w:val="26"/>
          <w:szCs w:val="26"/>
        </w:rPr>
        <w:t xml:space="preserve"> и финансовых организаций</w:t>
      </w:r>
      <w:r>
        <w:rPr>
          <w:rFonts w:ascii="Times New Roman" w:hAnsi="Times New Roman"/>
          <w:bCs/>
          <w:sz w:val="26"/>
          <w:szCs w:val="26"/>
        </w:rPr>
        <w:t xml:space="preserve"> для заключения соглашений о сотрудничестве по Программе предоставления поручительств Фонда, по размещению временно </w:t>
      </w:r>
      <w:r w:rsidRPr="005D4B57">
        <w:rPr>
          <w:rFonts w:ascii="Times New Roman" w:hAnsi="Times New Roman"/>
          <w:bCs/>
          <w:sz w:val="26"/>
          <w:szCs w:val="26"/>
        </w:rPr>
        <w:t>свободных денежных средств гарантийного капитала Фонда в депозиты банков.</w:t>
      </w:r>
    </w:p>
    <w:p w:rsidR="001D4F80" w:rsidRPr="006610DF" w:rsidRDefault="001D4F80" w:rsidP="001D4F80">
      <w:pPr>
        <w:pStyle w:val="af5"/>
        <w:keepLines/>
        <w:numPr>
          <w:ilvl w:val="0"/>
          <w:numId w:val="24"/>
        </w:numPr>
        <w:ind w:left="0" w:firstLine="567"/>
        <w:jc w:val="both"/>
        <w:rPr>
          <w:rFonts w:ascii="Times New Roman" w:hAnsi="Times New Roman"/>
          <w:bCs/>
          <w:sz w:val="26"/>
          <w:szCs w:val="26"/>
        </w:rPr>
      </w:pPr>
      <w:r w:rsidRPr="005D4B57">
        <w:rPr>
          <w:rFonts w:ascii="Times New Roman" w:hAnsi="Times New Roman"/>
          <w:bCs/>
          <w:sz w:val="26"/>
          <w:szCs w:val="26"/>
        </w:rPr>
        <w:t>Размещение прочей деловой информации на официальном сайте Фонда.</w:t>
      </w:r>
    </w:p>
    <w:p w:rsidR="001D4F80" w:rsidRPr="005D4B57" w:rsidRDefault="001D4F80" w:rsidP="00685419">
      <w:pPr>
        <w:pStyle w:val="af5"/>
        <w:keepLines/>
        <w:numPr>
          <w:ilvl w:val="0"/>
          <w:numId w:val="24"/>
        </w:numPr>
        <w:ind w:left="0" w:firstLine="567"/>
        <w:jc w:val="both"/>
        <w:rPr>
          <w:rFonts w:ascii="Times New Roman" w:hAnsi="Times New Roman"/>
          <w:bCs/>
          <w:sz w:val="26"/>
          <w:szCs w:val="26"/>
        </w:rPr>
      </w:pPr>
      <w:r w:rsidRPr="005D4B57">
        <w:rPr>
          <w:rFonts w:ascii="Times New Roman" w:hAnsi="Times New Roman"/>
          <w:sz w:val="26"/>
          <w:szCs w:val="26"/>
        </w:rPr>
        <w:t xml:space="preserve">Осуществление на постоянной основе работы по продвижению страницы Фонда в </w:t>
      </w:r>
      <w:r w:rsidR="00BC0302" w:rsidRPr="005D4B57">
        <w:rPr>
          <w:rFonts w:ascii="Times New Roman" w:hAnsi="Times New Roman"/>
          <w:sz w:val="26"/>
          <w:szCs w:val="26"/>
        </w:rPr>
        <w:t>поисковых системах и</w:t>
      </w:r>
      <w:r w:rsidRPr="005D4B57">
        <w:rPr>
          <w:rFonts w:ascii="Times New Roman" w:hAnsi="Times New Roman"/>
          <w:sz w:val="26"/>
          <w:szCs w:val="26"/>
        </w:rPr>
        <w:t xml:space="preserve"> социальных сетях</w:t>
      </w:r>
      <w:r w:rsidR="00BC0302" w:rsidRPr="005D4B57">
        <w:rPr>
          <w:rFonts w:ascii="Times New Roman" w:hAnsi="Times New Roman"/>
          <w:sz w:val="26"/>
          <w:szCs w:val="26"/>
        </w:rPr>
        <w:t>.</w:t>
      </w:r>
    </w:p>
    <w:p w:rsidR="001D4F80" w:rsidRPr="00AB7A44" w:rsidRDefault="001D4F80" w:rsidP="00685419">
      <w:pPr>
        <w:pStyle w:val="ConsPlusTitle"/>
        <w:widowControl/>
        <w:numPr>
          <w:ilvl w:val="0"/>
          <w:numId w:val="24"/>
        </w:numPr>
        <w:spacing w:before="120"/>
        <w:ind w:left="0" w:firstLine="567"/>
        <w:jc w:val="both"/>
        <w:rPr>
          <w:b w:val="0"/>
          <w:sz w:val="26"/>
          <w:szCs w:val="26"/>
        </w:rPr>
      </w:pPr>
      <w:r>
        <w:rPr>
          <w:b w:val="0"/>
          <w:sz w:val="26"/>
          <w:szCs w:val="26"/>
        </w:rPr>
        <w:t xml:space="preserve">Информационное взаимодействию с представителями малого и среднего </w:t>
      </w:r>
      <w:proofErr w:type="gramStart"/>
      <w:r>
        <w:rPr>
          <w:b w:val="0"/>
          <w:sz w:val="26"/>
          <w:szCs w:val="26"/>
        </w:rPr>
        <w:t>бизнеса</w:t>
      </w:r>
      <w:r w:rsidR="001D7570">
        <w:rPr>
          <w:b w:val="0"/>
          <w:sz w:val="26"/>
          <w:szCs w:val="26"/>
        </w:rPr>
        <w:t xml:space="preserve">, </w:t>
      </w:r>
      <w:r w:rsidR="001D7570" w:rsidRPr="001D7570">
        <w:rPr>
          <w:b w:val="0"/>
          <w:sz w:val="26"/>
          <w:szCs w:val="26"/>
        </w:rPr>
        <w:t xml:space="preserve"> а</w:t>
      </w:r>
      <w:proofErr w:type="gramEnd"/>
      <w:r w:rsidR="001D7570" w:rsidRPr="001D7570">
        <w:rPr>
          <w:b w:val="0"/>
          <w:sz w:val="26"/>
          <w:szCs w:val="26"/>
        </w:rPr>
        <w:t xml:space="preserve"> также физическим</w:t>
      </w:r>
      <w:r w:rsidR="001D7570">
        <w:rPr>
          <w:b w:val="0"/>
          <w:sz w:val="26"/>
          <w:szCs w:val="26"/>
        </w:rPr>
        <w:t>и</w:t>
      </w:r>
      <w:r w:rsidR="001D7570" w:rsidRPr="001D7570">
        <w:rPr>
          <w:b w:val="0"/>
          <w:sz w:val="26"/>
          <w:szCs w:val="26"/>
        </w:rPr>
        <w:t xml:space="preserve"> лицам</w:t>
      </w:r>
      <w:r w:rsidR="001D7570">
        <w:rPr>
          <w:b w:val="0"/>
          <w:sz w:val="26"/>
          <w:szCs w:val="26"/>
        </w:rPr>
        <w:t>и</w:t>
      </w:r>
      <w:r w:rsidR="001D7570" w:rsidRPr="001D7570">
        <w:rPr>
          <w:b w:val="0"/>
          <w:sz w:val="26"/>
          <w:szCs w:val="26"/>
        </w:rPr>
        <w:t>, применяющим</w:t>
      </w:r>
      <w:r w:rsidR="001D7570">
        <w:rPr>
          <w:b w:val="0"/>
          <w:sz w:val="26"/>
          <w:szCs w:val="26"/>
        </w:rPr>
        <w:t>и</w:t>
      </w:r>
      <w:r w:rsidR="001D7570" w:rsidRPr="001D7570">
        <w:rPr>
          <w:b w:val="0"/>
          <w:sz w:val="26"/>
          <w:szCs w:val="26"/>
        </w:rPr>
        <w:t xml:space="preserve"> специальный налоговый режим «Налог на профессиональный доход»</w:t>
      </w:r>
      <w:r>
        <w:rPr>
          <w:b w:val="0"/>
          <w:sz w:val="26"/>
          <w:szCs w:val="26"/>
        </w:rPr>
        <w:t xml:space="preserve"> на уровне муниципальных образований Оренбургской области, путем организации и проведения видеоконференций</w:t>
      </w:r>
      <w:r w:rsidR="00E94FD4">
        <w:rPr>
          <w:b w:val="0"/>
          <w:sz w:val="26"/>
          <w:szCs w:val="26"/>
        </w:rPr>
        <w:t>, выезда сотрудников</w:t>
      </w:r>
      <w:r>
        <w:rPr>
          <w:b w:val="0"/>
          <w:sz w:val="26"/>
          <w:szCs w:val="26"/>
        </w:rPr>
        <w:t xml:space="preserve"> </w:t>
      </w:r>
      <w:r w:rsidR="0054632C">
        <w:rPr>
          <w:b w:val="0"/>
          <w:sz w:val="26"/>
          <w:szCs w:val="26"/>
        </w:rPr>
        <w:t>Ф</w:t>
      </w:r>
      <w:r>
        <w:rPr>
          <w:b w:val="0"/>
          <w:sz w:val="26"/>
          <w:szCs w:val="26"/>
        </w:rPr>
        <w:t>онда для участия в конференциях,</w:t>
      </w:r>
      <w:r w:rsidR="00E94FD4">
        <w:rPr>
          <w:b w:val="0"/>
          <w:sz w:val="26"/>
          <w:szCs w:val="26"/>
        </w:rPr>
        <w:t xml:space="preserve"> встречах,</w:t>
      </w:r>
      <w:r>
        <w:rPr>
          <w:b w:val="0"/>
          <w:sz w:val="26"/>
          <w:szCs w:val="26"/>
        </w:rPr>
        <w:t xml:space="preserve"> проводимых </w:t>
      </w:r>
      <w:r w:rsidR="00E94FD4">
        <w:rPr>
          <w:b w:val="0"/>
          <w:sz w:val="26"/>
          <w:szCs w:val="26"/>
        </w:rPr>
        <w:t>а</w:t>
      </w:r>
      <w:r>
        <w:rPr>
          <w:b w:val="0"/>
          <w:sz w:val="26"/>
          <w:szCs w:val="26"/>
        </w:rPr>
        <w:t xml:space="preserve">дминистрациями </w:t>
      </w:r>
      <w:r w:rsidR="00E94FD4" w:rsidRPr="00AB7A44">
        <w:rPr>
          <w:b w:val="0"/>
          <w:sz w:val="26"/>
          <w:szCs w:val="26"/>
        </w:rPr>
        <w:t>муниципальных образований</w:t>
      </w:r>
      <w:r w:rsidRPr="00AB7A44">
        <w:rPr>
          <w:b w:val="0"/>
          <w:sz w:val="26"/>
          <w:szCs w:val="26"/>
        </w:rPr>
        <w:t>.</w:t>
      </w:r>
    </w:p>
    <w:p w:rsidR="001D4F80" w:rsidRPr="00AB7A44" w:rsidRDefault="00AB7A44" w:rsidP="001D4F80">
      <w:pPr>
        <w:pStyle w:val="af5"/>
        <w:keepLines/>
        <w:numPr>
          <w:ilvl w:val="0"/>
          <w:numId w:val="24"/>
        </w:numPr>
        <w:ind w:left="0" w:firstLine="567"/>
        <w:jc w:val="both"/>
        <w:rPr>
          <w:rFonts w:ascii="Times New Roman" w:hAnsi="Times New Roman"/>
          <w:bCs/>
          <w:sz w:val="26"/>
          <w:szCs w:val="26"/>
        </w:rPr>
      </w:pPr>
      <w:r w:rsidRPr="00AB7A44">
        <w:rPr>
          <w:rFonts w:ascii="Times New Roman" w:hAnsi="Times New Roman"/>
          <w:bCs/>
          <w:sz w:val="26"/>
          <w:szCs w:val="26"/>
        </w:rPr>
        <w:lastRenderedPageBreak/>
        <w:t>Изготовление и распространение рекламно-информационной продукции о гарантийных продуктах Фонда.</w:t>
      </w:r>
    </w:p>
    <w:p w:rsidR="00AB7A44" w:rsidRPr="00AB7A44" w:rsidRDefault="00AB7A44" w:rsidP="00685419">
      <w:pPr>
        <w:pStyle w:val="af5"/>
        <w:keepLines/>
        <w:numPr>
          <w:ilvl w:val="0"/>
          <w:numId w:val="24"/>
        </w:numPr>
        <w:ind w:left="0" w:firstLine="567"/>
        <w:jc w:val="both"/>
        <w:rPr>
          <w:rFonts w:ascii="Times New Roman" w:hAnsi="Times New Roman"/>
          <w:bCs/>
          <w:sz w:val="26"/>
          <w:szCs w:val="26"/>
        </w:rPr>
      </w:pPr>
      <w:r w:rsidRPr="00AB7A44">
        <w:rPr>
          <w:rFonts w:ascii="Times New Roman" w:hAnsi="Times New Roman"/>
          <w:sz w:val="26"/>
          <w:szCs w:val="26"/>
        </w:rPr>
        <w:t>Размещение (распространение) рекламно-информационной продукции о гарантийных продуктах Фонда,</w:t>
      </w:r>
      <w:r w:rsidR="001F3233">
        <w:rPr>
          <w:rFonts w:ascii="Times New Roman" w:hAnsi="Times New Roman"/>
          <w:sz w:val="26"/>
          <w:szCs w:val="26"/>
        </w:rPr>
        <w:t xml:space="preserve"> содержащей фирменный знак и название «Мой бизнес»,</w:t>
      </w:r>
      <w:r w:rsidRPr="00AB7A44">
        <w:rPr>
          <w:rFonts w:ascii="Times New Roman" w:hAnsi="Times New Roman"/>
          <w:sz w:val="26"/>
          <w:szCs w:val="26"/>
        </w:rPr>
        <w:t xml:space="preserve"> на различных мероприятиях, направленных</w:t>
      </w:r>
      <w:r>
        <w:rPr>
          <w:rFonts w:ascii="Times New Roman" w:hAnsi="Times New Roman"/>
          <w:sz w:val="26"/>
          <w:szCs w:val="26"/>
        </w:rPr>
        <w:t xml:space="preserve"> на продвижение гарантийных продуктов Фонда, </w:t>
      </w:r>
      <w:r w:rsidR="00F64B24">
        <w:rPr>
          <w:rFonts w:ascii="Times New Roman" w:hAnsi="Times New Roman"/>
          <w:sz w:val="26"/>
          <w:szCs w:val="26"/>
        </w:rPr>
        <w:t xml:space="preserve">а также через </w:t>
      </w:r>
      <w:r w:rsidRPr="00AB7A44">
        <w:rPr>
          <w:rFonts w:ascii="Times New Roman" w:hAnsi="Times New Roman"/>
          <w:sz w:val="26"/>
          <w:szCs w:val="26"/>
        </w:rPr>
        <w:t>банк</w:t>
      </w:r>
      <w:r w:rsidR="00F64B24">
        <w:rPr>
          <w:rFonts w:ascii="Times New Roman" w:hAnsi="Times New Roman"/>
          <w:sz w:val="26"/>
          <w:szCs w:val="26"/>
        </w:rPr>
        <w:t>и</w:t>
      </w:r>
      <w:r w:rsidR="003664D7">
        <w:rPr>
          <w:rFonts w:ascii="Times New Roman" w:hAnsi="Times New Roman"/>
          <w:sz w:val="26"/>
          <w:szCs w:val="26"/>
        </w:rPr>
        <w:t>, финансовые организации</w:t>
      </w:r>
      <w:r w:rsidRPr="00AB7A44">
        <w:rPr>
          <w:rFonts w:ascii="Times New Roman" w:hAnsi="Times New Roman"/>
          <w:sz w:val="26"/>
          <w:szCs w:val="26"/>
        </w:rPr>
        <w:t xml:space="preserve"> – </w:t>
      </w:r>
      <w:r>
        <w:rPr>
          <w:rFonts w:ascii="Times New Roman" w:hAnsi="Times New Roman"/>
          <w:sz w:val="26"/>
          <w:szCs w:val="26"/>
        </w:rPr>
        <w:t>участник</w:t>
      </w:r>
      <w:r w:rsidR="00F64B24">
        <w:rPr>
          <w:rFonts w:ascii="Times New Roman" w:hAnsi="Times New Roman"/>
          <w:sz w:val="26"/>
          <w:szCs w:val="26"/>
        </w:rPr>
        <w:t>и</w:t>
      </w:r>
      <w:r>
        <w:rPr>
          <w:rFonts w:ascii="Times New Roman" w:hAnsi="Times New Roman"/>
          <w:sz w:val="26"/>
          <w:szCs w:val="26"/>
        </w:rPr>
        <w:t xml:space="preserve"> Программы предоставления поручительств Фонда.</w:t>
      </w:r>
    </w:p>
    <w:p w:rsidR="00AB7A44" w:rsidRDefault="00956FC5" w:rsidP="00685419">
      <w:pPr>
        <w:pStyle w:val="ConsPlusTitle"/>
        <w:widowControl/>
        <w:numPr>
          <w:ilvl w:val="0"/>
          <w:numId w:val="24"/>
        </w:numPr>
        <w:spacing w:before="120"/>
        <w:ind w:left="0" w:firstLine="567"/>
        <w:jc w:val="both"/>
        <w:rPr>
          <w:b w:val="0"/>
          <w:sz w:val="26"/>
          <w:szCs w:val="26"/>
        </w:rPr>
      </w:pPr>
      <w:r>
        <w:rPr>
          <w:b w:val="0"/>
          <w:sz w:val="26"/>
          <w:szCs w:val="26"/>
        </w:rPr>
        <w:t>Р</w:t>
      </w:r>
      <w:r w:rsidRPr="001E26FB">
        <w:rPr>
          <w:b w:val="0"/>
          <w:sz w:val="26"/>
          <w:szCs w:val="26"/>
        </w:rPr>
        <w:t>азмещ</w:t>
      </w:r>
      <w:r>
        <w:rPr>
          <w:b w:val="0"/>
          <w:sz w:val="26"/>
          <w:szCs w:val="26"/>
        </w:rPr>
        <w:t xml:space="preserve">ение </w:t>
      </w:r>
      <w:r w:rsidR="00AB7A44">
        <w:rPr>
          <w:b w:val="0"/>
          <w:sz w:val="26"/>
          <w:szCs w:val="26"/>
        </w:rPr>
        <w:t>рекламных</w:t>
      </w:r>
      <w:r w:rsidR="00AB7A44" w:rsidRPr="001E26FB">
        <w:rPr>
          <w:b w:val="0"/>
          <w:sz w:val="26"/>
          <w:szCs w:val="26"/>
        </w:rPr>
        <w:t xml:space="preserve"> блок</w:t>
      </w:r>
      <w:r w:rsidR="00AB7A44">
        <w:rPr>
          <w:b w:val="0"/>
          <w:sz w:val="26"/>
          <w:szCs w:val="26"/>
        </w:rPr>
        <w:t>ов</w:t>
      </w:r>
      <w:r w:rsidR="001F3233">
        <w:rPr>
          <w:b w:val="0"/>
          <w:sz w:val="26"/>
          <w:szCs w:val="26"/>
        </w:rPr>
        <w:t xml:space="preserve"> </w:t>
      </w:r>
      <w:r w:rsidR="001F3233" w:rsidRPr="001F3233">
        <w:rPr>
          <w:b w:val="0"/>
          <w:sz w:val="26"/>
          <w:szCs w:val="26"/>
        </w:rPr>
        <w:t>о гарантийных продуктах</w:t>
      </w:r>
      <w:r w:rsidR="001F3233">
        <w:rPr>
          <w:b w:val="0"/>
          <w:sz w:val="26"/>
          <w:szCs w:val="26"/>
        </w:rPr>
        <w:t xml:space="preserve"> Фонда, содержащих фирменный знак и название «Мой бизнес</w:t>
      </w:r>
      <w:proofErr w:type="gramStart"/>
      <w:r w:rsidR="001F3233">
        <w:rPr>
          <w:b w:val="0"/>
          <w:sz w:val="26"/>
          <w:szCs w:val="26"/>
        </w:rPr>
        <w:t>»,</w:t>
      </w:r>
      <w:r w:rsidR="00AB7A44">
        <w:rPr>
          <w:b w:val="0"/>
          <w:sz w:val="26"/>
          <w:szCs w:val="26"/>
        </w:rPr>
        <w:t xml:space="preserve"> </w:t>
      </w:r>
      <w:r w:rsidR="00AB7A44" w:rsidRPr="001E26FB">
        <w:rPr>
          <w:b w:val="0"/>
          <w:sz w:val="26"/>
          <w:szCs w:val="26"/>
        </w:rPr>
        <w:t xml:space="preserve"> в</w:t>
      </w:r>
      <w:proofErr w:type="gramEnd"/>
      <w:r w:rsidR="00AB7A44" w:rsidRPr="001E26FB">
        <w:rPr>
          <w:b w:val="0"/>
          <w:sz w:val="26"/>
          <w:szCs w:val="26"/>
        </w:rPr>
        <w:t xml:space="preserve"> </w:t>
      </w:r>
      <w:r w:rsidR="003664D7">
        <w:rPr>
          <w:b w:val="0"/>
          <w:sz w:val="26"/>
          <w:szCs w:val="26"/>
        </w:rPr>
        <w:t>средствах массовой информации</w:t>
      </w:r>
      <w:r w:rsidR="00AB7A44" w:rsidRPr="001E26FB">
        <w:rPr>
          <w:b w:val="0"/>
          <w:sz w:val="26"/>
          <w:szCs w:val="26"/>
        </w:rPr>
        <w:t xml:space="preserve"> муниципальных образований</w:t>
      </w:r>
      <w:r w:rsidR="00AB7A44">
        <w:rPr>
          <w:b w:val="0"/>
          <w:sz w:val="26"/>
          <w:szCs w:val="26"/>
        </w:rPr>
        <w:t>, статей о Фонде</w:t>
      </w:r>
      <w:r w:rsidR="00AB7A44" w:rsidRPr="001E26FB">
        <w:rPr>
          <w:b w:val="0"/>
          <w:sz w:val="26"/>
          <w:szCs w:val="26"/>
        </w:rPr>
        <w:t xml:space="preserve"> в </w:t>
      </w:r>
      <w:r w:rsidR="003664D7">
        <w:rPr>
          <w:b w:val="0"/>
          <w:sz w:val="26"/>
          <w:szCs w:val="26"/>
        </w:rPr>
        <w:t>средствах массовой информации</w:t>
      </w:r>
      <w:r w:rsidR="00AB7A44">
        <w:rPr>
          <w:b w:val="0"/>
          <w:sz w:val="26"/>
          <w:szCs w:val="26"/>
        </w:rPr>
        <w:t xml:space="preserve"> Оренбургской области.</w:t>
      </w:r>
    </w:p>
    <w:p w:rsidR="00AB7A44" w:rsidRDefault="00AB7A44" w:rsidP="00685419">
      <w:pPr>
        <w:pStyle w:val="ConsPlusTitle"/>
        <w:widowControl/>
        <w:numPr>
          <w:ilvl w:val="0"/>
          <w:numId w:val="24"/>
        </w:numPr>
        <w:spacing w:before="120"/>
        <w:ind w:left="0" w:firstLine="567"/>
        <w:jc w:val="both"/>
        <w:rPr>
          <w:b w:val="0"/>
          <w:sz w:val="26"/>
          <w:szCs w:val="26"/>
        </w:rPr>
      </w:pPr>
      <w:r>
        <w:rPr>
          <w:b w:val="0"/>
          <w:sz w:val="26"/>
          <w:szCs w:val="26"/>
        </w:rPr>
        <w:t xml:space="preserve"> Размещение рекламной информации о гарантийных продуктах в</w:t>
      </w:r>
      <w:r w:rsidRPr="001E26FB">
        <w:rPr>
          <w:b w:val="0"/>
          <w:sz w:val="26"/>
          <w:szCs w:val="26"/>
        </w:rPr>
        <w:t xml:space="preserve"> эфир</w:t>
      </w:r>
      <w:r>
        <w:rPr>
          <w:b w:val="0"/>
          <w:sz w:val="26"/>
          <w:szCs w:val="26"/>
        </w:rPr>
        <w:t>ах</w:t>
      </w:r>
      <w:r w:rsidR="00F9497D">
        <w:rPr>
          <w:b w:val="0"/>
          <w:sz w:val="26"/>
          <w:szCs w:val="26"/>
        </w:rPr>
        <w:t xml:space="preserve"> различных телепрограмм на каналах вещания Оренбургской области.</w:t>
      </w:r>
    </w:p>
    <w:p w:rsidR="00AB7A44" w:rsidRDefault="00F9497D" w:rsidP="00685419">
      <w:pPr>
        <w:pStyle w:val="ConsPlusTitle"/>
        <w:widowControl/>
        <w:numPr>
          <w:ilvl w:val="0"/>
          <w:numId w:val="24"/>
        </w:numPr>
        <w:spacing w:before="120"/>
        <w:ind w:left="0" w:firstLine="567"/>
        <w:jc w:val="both"/>
        <w:rPr>
          <w:b w:val="0"/>
          <w:sz w:val="26"/>
          <w:szCs w:val="26"/>
        </w:rPr>
      </w:pPr>
      <w:r>
        <w:rPr>
          <w:b w:val="0"/>
          <w:sz w:val="26"/>
          <w:szCs w:val="26"/>
        </w:rPr>
        <w:t xml:space="preserve"> Размещение рекламной информации о гарантийных продуктах в э</w:t>
      </w:r>
      <w:r w:rsidR="00AB7A44" w:rsidRPr="001E26FB">
        <w:rPr>
          <w:b w:val="0"/>
          <w:sz w:val="26"/>
          <w:szCs w:val="26"/>
        </w:rPr>
        <w:t>фир</w:t>
      </w:r>
      <w:r>
        <w:rPr>
          <w:b w:val="0"/>
          <w:sz w:val="26"/>
          <w:szCs w:val="26"/>
        </w:rPr>
        <w:t>е</w:t>
      </w:r>
      <w:r w:rsidR="00AB7A44" w:rsidRPr="001E26FB">
        <w:rPr>
          <w:b w:val="0"/>
          <w:sz w:val="26"/>
          <w:szCs w:val="26"/>
        </w:rPr>
        <w:t xml:space="preserve"> на радиостанци</w:t>
      </w:r>
      <w:r>
        <w:rPr>
          <w:b w:val="0"/>
          <w:sz w:val="26"/>
          <w:szCs w:val="26"/>
        </w:rPr>
        <w:t>ях</w:t>
      </w:r>
      <w:r w:rsidR="00F64B24">
        <w:rPr>
          <w:b w:val="0"/>
          <w:sz w:val="26"/>
          <w:szCs w:val="26"/>
        </w:rPr>
        <w:t>, осуществляющих вещание в Оренбургской области</w:t>
      </w:r>
      <w:r>
        <w:rPr>
          <w:b w:val="0"/>
          <w:sz w:val="26"/>
          <w:szCs w:val="26"/>
        </w:rPr>
        <w:t>.</w:t>
      </w:r>
    </w:p>
    <w:p w:rsidR="0031631B" w:rsidRDefault="0031631B">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sidRPr="002B4901">
        <w:rPr>
          <w:rFonts w:ascii="Times New Roman" w:hAnsi="Times New Roman"/>
          <w:sz w:val="26"/>
          <w:szCs w:val="26"/>
        </w:rPr>
        <w:t xml:space="preserve"> Участие в мероприятиях и совещаниях, круглых столах</w:t>
      </w:r>
      <w:r w:rsidR="0054632C">
        <w:rPr>
          <w:rFonts w:ascii="Times New Roman" w:hAnsi="Times New Roman"/>
          <w:sz w:val="26"/>
          <w:szCs w:val="26"/>
        </w:rPr>
        <w:t>,</w:t>
      </w:r>
      <w:r w:rsidRPr="002B4901">
        <w:rPr>
          <w:rFonts w:ascii="Times New Roman" w:hAnsi="Times New Roman"/>
          <w:sz w:val="26"/>
          <w:szCs w:val="26"/>
        </w:rPr>
        <w:t xml:space="preserve">  проводимых Правительством области Оренбургской области, Торгово-Промышленной Палатой Оренбургской области, Уральским ГУ отделение по Оренбургской области Банка России, Прокуратурой Оренбургской области, Ассоциацией Коммерческих Банков Оренбуржья, муниципальными образованиями Оренбургской области.</w:t>
      </w:r>
    </w:p>
    <w:p w:rsidR="00A03D08" w:rsidRDefault="00A03D08">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Pr>
          <w:rFonts w:ascii="Times New Roman" w:hAnsi="Times New Roman"/>
          <w:sz w:val="26"/>
          <w:szCs w:val="26"/>
        </w:rPr>
        <w:t>Участие в различных мероприятиях, касающихся тематики поддержки малого и среднего бизнеса</w:t>
      </w:r>
      <w:r w:rsidR="001D7570">
        <w:rPr>
          <w:rFonts w:ascii="Times New Roman" w:hAnsi="Times New Roman"/>
          <w:sz w:val="26"/>
          <w:szCs w:val="26"/>
        </w:rPr>
        <w:t xml:space="preserve"> </w:t>
      </w:r>
      <w:proofErr w:type="gramStart"/>
      <w:r w:rsidR="001D7570">
        <w:rPr>
          <w:rFonts w:ascii="Times New Roman" w:hAnsi="Times New Roman"/>
          <w:sz w:val="26"/>
          <w:szCs w:val="26"/>
        </w:rPr>
        <w:t>и</w:t>
      </w:r>
      <w:r w:rsidR="001D7570" w:rsidRPr="001D7570">
        <w:rPr>
          <w:rFonts w:ascii="Times New Roman" w:hAnsi="Times New Roman"/>
          <w:sz w:val="26"/>
          <w:szCs w:val="26"/>
        </w:rPr>
        <w:t xml:space="preserve">  физически</w:t>
      </w:r>
      <w:r w:rsidR="001D7570">
        <w:rPr>
          <w:rFonts w:ascii="Times New Roman" w:hAnsi="Times New Roman"/>
          <w:sz w:val="26"/>
          <w:szCs w:val="26"/>
        </w:rPr>
        <w:t>х</w:t>
      </w:r>
      <w:proofErr w:type="gramEnd"/>
      <w:r w:rsidR="001D7570" w:rsidRPr="001D7570">
        <w:rPr>
          <w:rFonts w:ascii="Times New Roman" w:hAnsi="Times New Roman"/>
          <w:sz w:val="26"/>
          <w:szCs w:val="26"/>
        </w:rPr>
        <w:t xml:space="preserve"> лиц, применяющи</w:t>
      </w:r>
      <w:r w:rsidR="001D7570">
        <w:rPr>
          <w:rFonts w:ascii="Times New Roman" w:hAnsi="Times New Roman"/>
          <w:sz w:val="26"/>
          <w:szCs w:val="26"/>
        </w:rPr>
        <w:t>х</w:t>
      </w:r>
      <w:r w:rsidR="001D7570" w:rsidRPr="001D7570">
        <w:rPr>
          <w:rFonts w:ascii="Times New Roman" w:hAnsi="Times New Roman"/>
          <w:sz w:val="26"/>
          <w:szCs w:val="26"/>
        </w:rPr>
        <w:t xml:space="preserve"> специальный налоговый режим «Налог на профессиональный доход»</w:t>
      </w:r>
      <w:r w:rsidR="001D7570">
        <w:rPr>
          <w:rFonts w:ascii="Times New Roman" w:hAnsi="Times New Roman"/>
          <w:sz w:val="26"/>
          <w:szCs w:val="26"/>
        </w:rPr>
        <w:t xml:space="preserve"> </w:t>
      </w:r>
      <w:r>
        <w:rPr>
          <w:rFonts w:ascii="Times New Roman" w:hAnsi="Times New Roman"/>
          <w:sz w:val="26"/>
          <w:szCs w:val="26"/>
        </w:rPr>
        <w:t>(совещаниях, круглых столах, конференциях, семинарах, обучениях, форумах и т.п.), проводимых для действующих и потенциальных получателей поддержки.</w:t>
      </w:r>
    </w:p>
    <w:p w:rsidR="003664D7" w:rsidRDefault="003664D7">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Pr>
          <w:rFonts w:ascii="Times New Roman" w:hAnsi="Times New Roman"/>
          <w:sz w:val="26"/>
          <w:szCs w:val="26"/>
        </w:rPr>
        <w:t>Информационное взаимодействие с банками, финансовыми организациями-партнерами Фонда на предмет информирования об изменениях во внутренних нормативных документах Фонда, о новых гарантийных продуктах, лимитах поручительств и прочее.</w:t>
      </w:r>
    </w:p>
    <w:p w:rsidR="00A03D08" w:rsidRPr="008124F3" w:rsidRDefault="00A03D08" w:rsidP="008124F3">
      <w:pPr>
        <w:autoSpaceDE w:val="0"/>
        <w:autoSpaceDN w:val="0"/>
        <w:adjustRightInd w:val="0"/>
        <w:spacing w:before="120" w:after="240"/>
        <w:jc w:val="both"/>
        <w:rPr>
          <w:sz w:val="26"/>
          <w:szCs w:val="26"/>
        </w:rPr>
      </w:pPr>
    </w:p>
    <w:p w:rsidR="00366176" w:rsidRPr="00366176" w:rsidRDefault="00366176" w:rsidP="00366176">
      <w:pPr>
        <w:autoSpaceDE w:val="0"/>
        <w:autoSpaceDN w:val="0"/>
        <w:adjustRightInd w:val="0"/>
        <w:spacing w:before="120" w:after="240"/>
        <w:ind w:left="360"/>
        <w:jc w:val="center"/>
        <w:rPr>
          <w:b/>
          <w:bCs/>
          <w:sz w:val="26"/>
          <w:szCs w:val="26"/>
        </w:rPr>
      </w:pPr>
    </w:p>
    <w:p w:rsidR="00366176" w:rsidRDefault="00366176" w:rsidP="00366176">
      <w:pPr>
        <w:autoSpaceDE w:val="0"/>
        <w:autoSpaceDN w:val="0"/>
        <w:adjustRightInd w:val="0"/>
        <w:spacing w:before="120" w:after="240"/>
        <w:ind w:left="360"/>
        <w:jc w:val="center"/>
        <w:rPr>
          <w:b/>
          <w:bCs/>
          <w:sz w:val="26"/>
          <w:szCs w:val="26"/>
        </w:rPr>
      </w:pPr>
      <w:r w:rsidRPr="00366176">
        <w:rPr>
          <w:b/>
          <w:bCs/>
          <w:sz w:val="26"/>
          <w:szCs w:val="26"/>
        </w:rPr>
        <w:t>5.Комплекс мероприятий по достижению целевых значений ключевых показателей эффективности деятельности Фонда</w:t>
      </w:r>
    </w:p>
    <w:p w:rsidR="00366176" w:rsidRPr="00366176" w:rsidRDefault="00366176" w:rsidP="00366176">
      <w:pPr>
        <w:autoSpaceDE w:val="0"/>
        <w:autoSpaceDN w:val="0"/>
        <w:adjustRightInd w:val="0"/>
        <w:spacing w:before="120" w:after="240"/>
        <w:ind w:firstLine="567"/>
        <w:jc w:val="center"/>
        <w:rPr>
          <w:bCs/>
          <w:sz w:val="26"/>
          <w:szCs w:val="26"/>
        </w:rPr>
      </w:pPr>
    </w:p>
    <w:p w:rsidR="00366176" w:rsidRPr="00366176" w:rsidRDefault="00366176" w:rsidP="00366176">
      <w:pPr>
        <w:autoSpaceDE w:val="0"/>
        <w:autoSpaceDN w:val="0"/>
        <w:adjustRightInd w:val="0"/>
        <w:spacing w:before="120" w:after="240"/>
        <w:ind w:firstLine="567"/>
        <w:jc w:val="both"/>
        <w:rPr>
          <w:sz w:val="26"/>
          <w:szCs w:val="26"/>
        </w:rPr>
      </w:pPr>
      <w:r w:rsidRPr="00366176">
        <w:rPr>
          <w:bCs/>
          <w:sz w:val="26"/>
          <w:szCs w:val="26"/>
        </w:rPr>
        <w:t>В целях достижения целевых значений ключевых показателей эффективности деятельности Фонда</w:t>
      </w:r>
      <w:r>
        <w:rPr>
          <w:bCs/>
          <w:sz w:val="26"/>
          <w:szCs w:val="26"/>
        </w:rPr>
        <w:t xml:space="preserve">, </w:t>
      </w:r>
      <w:r>
        <w:rPr>
          <w:sz w:val="26"/>
          <w:szCs w:val="26"/>
        </w:rPr>
        <w:t xml:space="preserve">на постоянной основе планируется следующий комплекс </w:t>
      </w:r>
      <w:r w:rsidRPr="00366176">
        <w:rPr>
          <w:sz w:val="26"/>
          <w:szCs w:val="26"/>
        </w:rPr>
        <w:t>мероприятий:</w:t>
      </w:r>
    </w:p>
    <w:p w:rsidR="000B39E8" w:rsidRDefault="00366176" w:rsidP="000B39E8">
      <w:pPr>
        <w:pStyle w:val="af5"/>
        <w:numPr>
          <w:ilvl w:val="0"/>
          <w:numId w:val="26"/>
        </w:numPr>
        <w:autoSpaceDE w:val="0"/>
        <w:autoSpaceDN w:val="0"/>
        <w:adjustRightInd w:val="0"/>
        <w:spacing w:before="120" w:after="240"/>
        <w:jc w:val="both"/>
        <w:rPr>
          <w:rFonts w:ascii="Times New Roman" w:hAnsi="Times New Roman"/>
          <w:sz w:val="26"/>
          <w:szCs w:val="26"/>
        </w:rPr>
      </w:pPr>
      <w:r w:rsidRPr="00366176">
        <w:rPr>
          <w:rFonts w:ascii="Times New Roman" w:hAnsi="Times New Roman"/>
          <w:sz w:val="26"/>
          <w:szCs w:val="26"/>
        </w:rPr>
        <w:t xml:space="preserve">В целях обеспечения ежегодного прироста </w:t>
      </w:r>
      <w:r w:rsidRPr="00366176">
        <w:rPr>
          <w:rFonts w:ascii="Times New Roman" w:hAnsi="Times New Roman"/>
          <w:bCs/>
          <w:sz w:val="26"/>
          <w:szCs w:val="26"/>
        </w:rPr>
        <w:t>размера поручительств</w:t>
      </w:r>
      <w:r w:rsidR="00577077">
        <w:rPr>
          <w:rFonts w:ascii="Times New Roman" w:hAnsi="Times New Roman"/>
          <w:bCs/>
          <w:sz w:val="26"/>
          <w:szCs w:val="26"/>
        </w:rPr>
        <w:t xml:space="preserve"> и (или) независимых гарантий</w:t>
      </w:r>
      <w:r w:rsidRPr="00366176">
        <w:rPr>
          <w:rFonts w:ascii="Times New Roman" w:hAnsi="Times New Roman"/>
          <w:bCs/>
          <w:sz w:val="26"/>
          <w:szCs w:val="26"/>
        </w:rPr>
        <w:t xml:space="preserve">, предоставленных </w:t>
      </w:r>
      <w:r w:rsidRPr="00366176">
        <w:rPr>
          <w:rFonts w:ascii="Times New Roman" w:hAnsi="Times New Roman"/>
          <w:sz w:val="26"/>
          <w:szCs w:val="26"/>
        </w:rPr>
        <w:t>СМСП и  организациям инфраструктуры поддержки,</w:t>
      </w:r>
      <w:r w:rsidR="001D7570">
        <w:rPr>
          <w:rFonts w:ascii="Times New Roman" w:hAnsi="Times New Roman"/>
          <w:sz w:val="26"/>
          <w:szCs w:val="26"/>
        </w:rPr>
        <w:t xml:space="preserve"> </w:t>
      </w:r>
      <w:r w:rsidR="001D7570" w:rsidRPr="001D7570">
        <w:rPr>
          <w:rFonts w:ascii="Times New Roman" w:hAnsi="Times New Roman"/>
          <w:sz w:val="26"/>
          <w:szCs w:val="26"/>
        </w:rPr>
        <w:t xml:space="preserve"> а также физическим лицам, применяющим </w:t>
      </w:r>
      <w:r w:rsidR="001D7570" w:rsidRPr="001D7570">
        <w:rPr>
          <w:rFonts w:ascii="Times New Roman" w:hAnsi="Times New Roman"/>
          <w:sz w:val="26"/>
          <w:szCs w:val="26"/>
        </w:rPr>
        <w:lastRenderedPageBreak/>
        <w:t>специальный налоговый режим «Налог на профессиональный доход»</w:t>
      </w:r>
      <w:r w:rsidR="001D7570">
        <w:rPr>
          <w:rFonts w:ascii="Times New Roman" w:hAnsi="Times New Roman"/>
          <w:sz w:val="26"/>
          <w:szCs w:val="26"/>
        </w:rPr>
        <w:t>,</w:t>
      </w:r>
      <w:r w:rsidRPr="00366176">
        <w:rPr>
          <w:rFonts w:ascii="Times New Roman" w:hAnsi="Times New Roman"/>
          <w:sz w:val="26"/>
          <w:szCs w:val="26"/>
        </w:rPr>
        <w:t xml:space="preserve"> с учетом поручительств</w:t>
      </w:r>
      <w:r w:rsidR="00577077">
        <w:rPr>
          <w:rFonts w:ascii="Times New Roman" w:hAnsi="Times New Roman"/>
          <w:sz w:val="26"/>
          <w:szCs w:val="26"/>
        </w:rPr>
        <w:t xml:space="preserve"> и (или) независимых гарантий</w:t>
      </w:r>
      <w:r w:rsidRPr="00366176">
        <w:rPr>
          <w:rFonts w:ascii="Times New Roman" w:hAnsi="Times New Roman"/>
          <w:sz w:val="26"/>
          <w:szCs w:val="26"/>
        </w:rPr>
        <w:t xml:space="preserve">, выданных в рамках </w:t>
      </w:r>
      <w:proofErr w:type="spellStart"/>
      <w:r w:rsidRPr="00366176">
        <w:rPr>
          <w:rFonts w:ascii="Times New Roman" w:hAnsi="Times New Roman"/>
          <w:sz w:val="26"/>
          <w:szCs w:val="26"/>
        </w:rPr>
        <w:t>согарантий</w:t>
      </w:r>
      <w:proofErr w:type="spellEnd"/>
      <w:r w:rsidRPr="00366176">
        <w:rPr>
          <w:rFonts w:ascii="Times New Roman" w:hAnsi="Times New Roman"/>
          <w:sz w:val="26"/>
          <w:szCs w:val="26"/>
        </w:rPr>
        <w:t xml:space="preserve"> в части, обеспеченной поручительствами</w:t>
      </w:r>
      <w:r w:rsidR="00577077">
        <w:rPr>
          <w:rFonts w:ascii="Times New Roman" w:hAnsi="Times New Roman"/>
          <w:sz w:val="26"/>
          <w:szCs w:val="26"/>
        </w:rPr>
        <w:t xml:space="preserve"> и (или) независимыми гарантиями</w:t>
      </w:r>
      <w:r w:rsidRPr="00366176">
        <w:rPr>
          <w:rFonts w:ascii="Times New Roman" w:hAnsi="Times New Roman"/>
          <w:sz w:val="26"/>
          <w:szCs w:val="26"/>
        </w:rPr>
        <w:t xml:space="preserve"> Фонда (при наличии сделок по </w:t>
      </w:r>
      <w:proofErr w:type="spellStart"/>
      <w:r w:rsidRPr="00366176">
        <w:rPr>
          <w:rFonts w:ascii="Times New Roman" w:hAnsi="Times New Roman"/>
          <w:sz w:val="26"/>
          <w:szCs w:val="26"/>
        </w:rPr>
        <w:t>согарантии</w:t>
      </w:r>
      <w:proofErr w:type="spellEnd"/>
      <w:r w:rsidRPr="00366176">
        <w:rPr>
          <w:rFonts w:ascii="Times New Roman" w:hAnsi="Times New Roman"/>
          <w:sz w:val="26"/>
          <w:szCs w:val="26"/>
        </w:rPr>
        <w:t>)</w:t>
      </w:r>
      <w:r w:rsidR="000B39E8">
        <w:rPr>
          <w:rFonts w:ascii="Times New Roman" w:hAnsi="Times New Roman"/>
          <w:sz w:val="26"/>
          <w:szCs w:val="26"/>
        </w:rPr>
        <w:t>, а также в</w:t>
      </w:r>
      <w:r w:rsidR="000B39E8" w:rsidRPr="000B39E8">
        <w:rPr>
          <w:rFonts w:ascii="Times New Roman" w:hAnsi="Times New Roman"/>
          <w:sz w:val="26"/>
          <w:szCs w:val="26"/>
        </w:rPr>
        <w:t xml:space="preserve"> целях  обеспечения ежегодного прироста объема привлеченного СМСП и  организациям инфраструктуры поддержки</w:t>
      </w:r>
      <w:r w:rsidR="001D7570">
        <w:rPr>
          <w:rFonts w:ascii="Times New Roman" w:hAnsi="Times New Roman"/>
          <w:sz w:val="26"/>
          <w:szCs w:val="26"/>
        </w:rPr>
        <w:t xml:space="preserve">, </w:t>
      </w:r>
      <w:r w:rsidR="001D7570" w:rsidRPr="001D7570">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r w:rsidR="001D7570">
        <w:rPr>
          <w:rFonts w:ascii="Times New Roman" w:hAnsi="Times New Roman"/>
          <w:sz w:val="26"/>
          <w:szCs w:val="26"/>
        </w:rPr>
        <w:t xml:space="preserve"> </w:t>
      </w:r>
      <w:r w:rsidR="000B39E8" w:rsidRPr="000B39E8">
        <w:rPr>
          <w:rFonts w:ascii="Times New Roman" w:hAnsi="Times New Roman"/>
          <w:sz w:val="26"/>
          <w:szCs w:val="26"/>
        </w:rPr>
        <w:t>финансирования с помощью предоставленных Фондом поручительств</w:t>
      </w:r>
      <w:r w:rsidR="00577077">
        <w:rPr>
          <w:rFonts w:ascii="Times New Roman" w:hAnsi="Times New Roman"/>
          <w:sz w:val="26"/>
          <w:szCs w:val="26"/>
        </w:rPr>
        <w:t xml:space="preserve"> и (или) независимых гарантий</w:t>
      </w:r>
      <w:r w:rsidR="000B39E8" w:rsidRPr="000B39E8">
        <w:rPr>
          <w:rFonts w:ascii="Times New Roman" w:hAnsi="Times New Roman"/>
          <w:sz w:val="26"/>
          <w:szCs w:val="26"/>
        </w:rPr>
        <w:t>, с учетом средств, привлеченных по поручительствам</w:t>
      </w:r>
      <w:r w:rsidR="00577077">
        <w:rPr>
          <w:rFonts w:ascii="Times New Roman" w:hAnsi="Times New Roman"/>
          <w:sz w:val="26"/>
          <w:szCs w:val="26"/>
        </w:rPr>
        <w:t xml:space="preserve"> и (или) независимым гарантиям</w:t>
      </w:r>
      <w:r w:rsidR="000B39E8" w:rsidRPr="000B39E8">
        <w:rPr>
          <w:rFonts w:ascii="Times New Roman" w:hAnsi="Times New Roman"/>
          <w:sz w:val="26"/>
          <w:szCs w:val="26"/>
        </w:rPr>
        <w:t xml:space="preserve"> в рамках </w:t>
      </w:r>
      <w:proofErr w:type="spellStart"/>
      <w:r w:rsidR="000B39E8" w:rsidRPr="000B39E8">
        <w:rPr>
          <w:rFonts w:ascii="Times New Roman" w:hAnsi="Times New Roman"/>
          <w:sz w:val="26"/>
          <w:szCs w:val="26"/>
        </w:rPr>
        <w:t>согарантий</w:t>
      </w:r>
      <w:proofErr w:type="spellEnd"/>
      <w:r w:rsidR="000B39E8" w:rsidRPr="000B39E8">
        <w:rPr>
          <w:rFonts w:ascii="Times New Roman" w:hAnsi="Times New Roman"/>
          <w:sz w:val="26"/>
          <w:szCs w:val="26"/>
        </w:rPr>
        <w:t xml:space="preserve"> в части, обеспеченной поручительствами</w:t>
      </w:r>
      <w:r w:rsidR="00577077">
        <w:rPr>
          <w:rFonts w:ascii="Times New Roman" w:hAnsi="Times New Roman"/>
          <w:sz w:val="26"/>
          <w:szCs w:val="26"/>
        </w:rPr>
        <w:t xml:space="preserve"> и (или) независимыми гарантиями</w:t>
      </w:r>
      <w:r w:rsidR="000B39E8" w:rsidRPr="000B39E8">
        <w:rPr>
          <w:rFonts w:ascii="Times New Roman" w:hAnsi="Times New Roman"/>
          <w:sz w:val="26"/>
          <w:szCs w:val="26"/>
        </w:rPr>
        <w:t xml:space="preserve"> Фонда (при наличии сделок по </w:t>
      </w:r>
      <w:proofErr w:type="spellStart"/>
      <w:r w:rsidR="000B39E8" w:rsidRPr="000B39E8">
        <w:rPr>
          <w:rFonts w:ascii="Times New Roman" w:hAnsi="Times New Roman"/>
          <w:sz w:val="26"/>
          <w:szCs w:val="26"/>
        </w:rPr>
        <w:t>согарантии</w:t>
      </w:r>
      <w:proofErr w:type="spellEnd"/>
      <w:r w:rsidR="000B39E8" w:rsidRPr="000B39E8">
        <w:rPr>
          <w:rFonts w:ascii="Times New Roman" w:hAnsi="Times New Roman"/>
          <w:sz w:val="26"/>
          <w:szCs w:val="26"/>
        </w:rPr>
        <w:t>)</w:t>
      </w:r>
      <w:r w:rsidR="000B39E8">
        <w:rPr>
          <w:rFonts w:ascii="Times New Roman" w:hAnsi="Times New Roman"/>
          <w:sz w:val="26"/>
          <w:szCs w:val="26"/>
        </w:rPr>
        <w:t>:</w:t>
      </w:r>
    </w:p>
    <w:p w:rsidR="00366176" w:rsidRDefault="00366176"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w:t>
      </w:r>
      <w:r w:rsidR="00685419">
        <w:rPr>
          <w:rFonts w:ascii="Times New Roman" w:hAnsi="Times New Roman"/>
          <w:sz w:val="26"/>
          <w:szCs w:val="26"/>
        </w:rPr>
        <w:t>Внесений изменений, дополнений в действующие внутренние нормативные документы Фонда, регламентирующие порядок предоставления поручительств Фонда, на основании складывающихся условий предоставления поручительств и потребности СМСП</w:t>
      </w:r>
      <w:r w:rsidR="00577077">
        <w:rPr>
          <w:rFonts w:ascii="Times New Roman" w:hAnsi="Times New Roman"/>
          <w:sz w:val="26"/>
          <w:szCs w:val="26"/>
        </w:rPr>
        <w:t xml:space="preserve"> и организаций инфраструктуры поддержки,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0B39E8">
        <w:rPr>
          <w:rFonts w:ascii="Times New Roman" w:hAnsi="Times New Roman"/>
          <w:sz w:val="26"/>
          <w:szCs w:val="26"/>
        </w:rPr>
        <w:t xml:space="preserve"> и банков </w:t>
      </w:r>
      <w:proofErr w:type="gramStart"/>
      <w:r w:rsidR="000B39E8">
        <w:rPr>
          <w:rFonts w:ascii="Times New Roman" w:hAnsi="Times New Roman"/>
          <w:sz w:val="26"/>
          <w:szCs w:val="26"/>
        </w:rPr>
        <w:t>-  участников</w:t>
      </w:r>
      <w:proofErr w:type="gramEnd"/>
      <w:r w:rsidR="000B39E8">
        <w:rPr>
          <w:rFonts w:ascii="Times New Roman" w:hAnsi="Times New Roman"/>
          <w:sz w:val="26"/>
          <w:szCs w:val="26"/>
        </w:rPr>
        <w:t xml:space="preserve"> Программы предоставления поручительств Фонда</w:t>
      </w:r>
      <w:r w:rsidR="00685419">
        <w:rPr>
          <w:rFonts w:ascii="Times New Roman" w:hAnsi="Times New Roman"/>
          <w:sz w:val="26"/>
          <w:szCs w:val="26"/>
        </w:rPr>
        <w:t>;</w:t>
      </w:r>
    </w:p>
    <w:p w:rsidR="00685419" w:rsidRDefault="00685419"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Организация проведения обучающих семинаров для сотрудников Фонда, в целях повышения качества приема и сопровождения заявок СМСП</w:t>
      </w:r>
      <w:r w:rsidR="00577077">
        <w:rPr>
          <w:rFonts w:ascii="Times New Roman" w:hAnsi="Times New Roman"/>
          <w:sz w:val="26"/>
          <w:szCs w:val="26"/>
        </w:rPr>
        <w:t xml:space="preserve"> и организаций инфраструктуры поддержки,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577077">
        <w:rPr>
          <w:rFonts w:ascii="Times New Roman" w:hAnsi="Times New Roman"/>
          <w:sz w:val="26"/>
          <w:szCs w:val="26"/>
        </w:rPr>
        <w:t>,</w:t>
      </w:r>
      <w:r>
        <w:rPr>
          <w:rFonts w:ascii="Times New Roman" w:hAnsi="Times New Roman"/>
          <w:sz w:val="26"/>
          <w:szCs w:val="26"/>
        </w:rPr>
        <w:t xml:space="preserve"> на предоставление поручительства</w:t>
      </w:r>
      <w:r w:rsidR="00577077">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 совершенствования механизмов предоставления поручительств</w:t>
      </w:r>
      <w:r w:rsidR="00577077">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w:t>
      </w:r>
    </w:p>
    <w:p w:rsidR="00197178" w:rsidRDefault="00685419"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Взаимодействие, в том числе путем реализации мер, перечисленных в разделе 4 настоящей Программы, </w:t>
      </w:r>
      <w:r w:rsidR="00197178">
        <w:rPr>
          <w:rFonts w:ascii="Times New Roman" w:hAnsi="Times New Roman"/>
          <w:sz w:val="26"/>
          <w:szCs w:val="26"/>
        </w:rPr>
        <w:t xml:space="preserve">с органами власти и местного самоуправления, </w:t>
      </w:r>
      <w:r w:rsidR="000B39E8">
        <w:rPr>
          <w:rFonts w:ascii="Times New Roman" w:hAnsi="Times New Roman"/>
          <w:sz w:val="26"/>
          <w:szCs w:val="26"/>
        </w:rPr>
        <w:t xml:space="preserve">банками,  </w:t>
      </w:r>
      <w:r w:rsidR="00197178">
        <w:rPr>
          <w:rFonts w:ascii="Times New Roman" w:hAnsi="Times New Roman"/>
          <w:sz w:val="26"/>
          <w:szCs w:val="26"/>
        </w:rPr>
        <w:t>организациями инфраструктуры поддержки, многофункциональными центрами, СМИ, общественными объединениями предпринимателей</w:t>
      </w:r>
      <w:r w:rsidR="00577077">
        <w:rPr>
          <w:rFonts w:ascii="Times New Roman" w:hAnsi="Times New Roman"/>
          <w:sz w:val="26"/>
          <w:szCs w:val="26"/>
        </w:rPr>
        <w:t xml:space="preserve">,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197178">
        <w:rPr>
          <w:rFonts w:ascii="Times New Roman" w:hAnsi="Times New Roman"/>
          <w:sz w:val="26"/>
          <w:szCs w:val="26"/>
        </w:rPr>
        <w:t xml:space="preserve"> и заинтересованными организациями с целью информирования о гарантийных продуктах Фонда и привлечения потенциальных получателей поддержки Фонда.</w:t>
      </w:r>
    </w:p>
    <w:p w:rsidR="00197178" w:rsidRDefault="0019717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Проведение Фондом обучающих семинаров и прочих обучающих мероприятий с сотрудниками многофункционального центра (далее – МФЦ), в целях качественного исполнения приема заявок сотрудниками МФЦ от СМСП и организаций инфраструктуры поддержки</w:t>
      </w:r>
      <w:r w:rsidR="00577077">
        <w:rPr>
          <w:rFonts w:ascii="Times New Roman" w:hAnsi="Times New Roman"/>
          <w:sz w:val="26"/>
          <w:szCs w:val="26"/>
        </w:rPr>
        <w:t xml:space="preserve">, </w:t>
      </w:r>
      <w:r w:rsidR="00577077" w:rsidRPr="00577077">
        <w:rPr>
          <w:rFonts w:ascii="Times New Roman" w:hAnsi="Times New Roman"/>
          <w:sz w:val="26"/>
          <w:szCs w:val="26"/>
        </w:rPr>
        <w:t xml:space="preserve"> 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577077">
        <w:rPr>
          <w:rFonts w:ascii="Times New Roman" w:hAnsi="Times New Roman"/>
          <w:sz w:val="26"/>
          <w:szCs w:val="26"/>
        </w:rPr>
        <w:t xml:space="preserve"> </w:t>
      </w:r>
      <w:r>
        <w:rPr>
          <w:rFonts w:ascii="Times New Roman" w:hAnsi="Times New Roman"/>
          <w:sz w:val="26"/>
          <w:szCs w:val="26"/>
        </w:rPr>
        <w:t>на гарантийные продукты Фонда.</w:t>
      </w:r>
    </w:p>
    <w:p w:rsidR="000B39E8" w:rsidRDefault="000B39E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Проведение Фондом обучающих семинаров и прочих обучающих мероприятий с сотрудниками банков </w:t>
      </w:r>
      <w:proofErr w:type="gramStart"/>
      <w:r>
        <w:rPr>
          <w:rFonts w:ascii="Times New Roman" w:hAnsi="Times New Roman"/>
          <w:sz w:val="26"/>
          <w:szCs w:val="26"/>
        </w:rPr>
        <w:t>-</w:t>
      </w:r>
      <w:r w:rsidRPr="000B39E8">
        <w:rPr>
          <w:rFonts w:ascii="Times New Roman" w:hAnsi="Times New Roman"/>
          <w:sz w:val="26"/>
          <w:szCs w:val="26"/>
        </w:rPr>
        <w:t xml:space="preserve"> </w:t>
      </w:r>
      <w:r>
        <w:rPr>
          <w:rFonts w:ascii="Times New Roman" w:hAnsi="Times New Roman"/>
          <w:sz w:val="26"/>
          <w:szCs w:val="26"/>
        </w:rPr>
        <w:t xml:space="preserve"> участников</w:t>
      </w:r>
      <w:proofErr w:type="gramEnd"/>
      <w:r>
        <w:rPr>
          <w:rFonts w:ascii="Times New Roman" w:hAnsi="Times New Roman"/>
          <w:sz w:val="26"/>
          <w:szCs w:val="26"/>
        </w:rPr>
        <w:t xml:space="preserve"> Программы предоставления поручительств </w:t>
      </w:r>
      <w:r w:rsidR="00577077">
        <w:rPr>
          <w:rFonts w:ascii="Times New Roman" w:hAnsi="Times New Roman"/>
          <w:sz w:val="26"/>
          <w:szCs w:val="26"/>
        </w:rPr>
        <w:t xml:space="preserve">и (или) независимых гарантий </w:t>
      </w:r>
      <w:r>
        <w:rPr>
          <w:rFonts w:ascii="Times New Roman" w:hAnsi="Times New Roman"/>
          <w:sz w:val="26"/>
          <w:szCs w:val="26"/>
        </w:rPr>
        <w:t>Фонда в целях качественного исполнения заявок на поручительство Фонда.</w:t>
      </w:r>
    </w:p>
    <w:p w:rsidR="00E625ED" w:rsidRDefault="0019717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Информирование СМСП и организации инфраструктуры </w:t>
      </w:r>
      <w:proofErr w:type="gramStart"/>
      <w:r>
        <w:rPr>
          <w:rFonts w:ascii="Times New Roman" w:hAnsi="Times New Roman"/>
          <w:sz w:val="26"/>
          <w:szCs w:val="26"/>
        </w:rPr>
        <w:t>поддержки</w:t>
      </w:r>
      <w:r w:rsidR="00577077">
        <w:rPr>
          <w:rFonts w:ascii="Times New Roman" w:hAnsi="Times New Roman"/>
          <w:sz w:val="26"/>
          <w:szCs w:val="26"/>
        </w:rPr>
        <w:t xml:space="preserve">, </w:t>
      </w:r>
      <w:r w:rsidR="00577077" w:rsidRPr="00577077">
        <w:rPr>
          <w:rFonts w:ascii="Times New Roman" w:hAnsi="Times New Roman"/>
          <w:sz w:val="26"/>
          <w:szCs w:val="26"/>
        </w:rPr>
        <w:t xml:space="preserve"> а</w:t>
      </w:r>
      <w:proofErr w:type="gramEnd"/>
      <w:r w:rsidR="00577077" w:rsidRPr="00577077">
        <w:rPr>
          <w:rFonts w:ascii="Times New Roman" w:hAnsi="Times New Roman"/>
          <w:sz w:val="26"/>
          <w:szCs w:val="26"/>
        </w:rPr>
        <w:t xml:space="preserve">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w:t>
      </w:r>
      <w:r w:rsidR="00577077" w:rsidRPr="00577077">
        <w:rPr>
          <w:rFonts w:ascii="Times New Roman" w:hAnsi="Times New Roman"/>
          <w:sz w:val="26"/>
          <w:szCs w:val="26"/>
        </w:rPr>
        <w:lastRenderedPageBreak/>
        <w:t>профессиональный доход»</w:t>
      </w:r>
      <w:r w:rsidR="00577077">
        <w:rPr>
          <w:rFonts w:ascii="Times New Roman" w:hAnsi="Times New Roman"/>
          <w:sz w:val="26"/>
          <w:szCs w:val="26"/>
        </w:rPr>
        <w:t>,</w:t>
      </w:r>
      <w:r>
        <w:rPr>
          <w:rFonts w:ascii="Times New Roman" w:hAnsi="Times New Roman"/>
          <w:sz w:val="26"/>
          <w:szCs w:val="26"/>
        </w:rPr>
        <w:t xml:space="preserve"> любыми доступными способами, включая комплекс мер, перечисленных в разделе 4 настоящей Программы, о механизмах получения и реализации гарантийных продуктов Фонда</w:t>
      </w:r>
      <w:r w:rsidR="009D0A50">
        <w:rPr>
          <w:rFonts w:ascii="Times New Roman" w:hAnsi="Times New Roman"/>
          <w:sz w:val="26"/>
          <w:szCs w:val="26"/>
        </w:rPr>
        <w:t>.</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В</w:t>
      </w:r>
      <w:r w:rsidRPr="0053741F">
        <w:rPr>
          <w:rFonts w:ascii="Times New Roman" w:hAnsi="Times New Roman"/>
          <w:sz w:val="26"/>
          <w:szCs w:val="26"/>
        </w:rPr>
        <w:t>несение и актуализаци</w:t>
      </w:r>
      <w:r>
        <w:rPr>
          <w:rFonts w:ascii="Times New Roman" w:hAnsi="Times New Roman"/>
          <w:sz w:val="26"/>
          <w:szCs w:val="26"/>
        </w:rPr>
        <w:t>я</w:t>
      </w:r>
      <w:r w:rsidRPr="0053741F">
        <w:rPr>
          <w:rFonts w:ascii="Times New Roman" w:hAnsi="Times New Roman"/>
          <w:sz w:val="26"/>
          <w:szCs w:val="26"/>
        </w:rPr>
        <w:t xml:space="preserve"> общих сведений о</w:t>
      </w:r>
      <w:r>
        <w:rPr>
          <w:rFonts w:ascii="Times New Roman" w:hAnsi="Times New Roman"/>
          <w:sz w:val="26"/>
          <w:szCs w:val="26"/>
        </w:rPr>
        <w:t xml:space="preserve"> </w:t>
      </w:r>
      <w:proofErr w:type="gramStart"/>
      <w:r>
        <w:rPr>
          <w:rFonts w:ascii="Times New Roman" w:hAnsi="Times New Roman"/>
          <w:sz w:val="26"/>
          <w:szCs w:val="26"/>
        </w:rPr>
        <w:t xml:space="preserve">Фонде </w:t>
      </w:r>
      <w:r w:rsidRPr="0053741F">
        <w:rPr>
          <w:rFonts w:ascii="Times New Roman" w:hAnsi="Times New Roman"/>
          <w:sz w:val="26"/>
          <w:szCs w:val="26"/>
        </w:rPr>
        <w:t xml:space="preserve"> в</w:t>
      </w:r>
      <w:proofErr w:type="gramEnd"/>
      <w:r w:rsidRPr="0053741F">
        <w:rPr>
          <w:rFonts w:ascii="Times New Roman" w:hAnsi="Times New Roman"/>
          <w:sz w:val="26"/>
          <w:szCs w:val="26"/>
        </w:rPr>
        <w:t xml:space="preserve"> электронном виде </w:t>
      </w:r>
      <w:r>
        <w:rPr>
          <w:rFonts w:ascii="Times New Roman" w:hAnsi="Times New Roman"/>
          <w:sz w:val="26"/>
          <w:szCs w:val="26"/>
        </w:rPr>
        <w:t xml:space="preserve"> на </w:t>
      </w:r>
      <w:r w:rsidRPr="0053741F">
        <w:rPr>
          <w:rFonts w:ascii="Times New Roman" w:hAnsi="Times New Roman"/>
          <w:sz w:val="26"/>
          <w:szCs w:val="26"/>
        </w:rPr>
        <w:t>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В</w:t>
      </w:r>
      <w:r w:rsidRPr="0053741F">
        <w:rPr>
          <w:rFonts w:ascii="Times New Roman" w:hAnsi="Times New Roman"/>
          <w:sz w:val="26"/>
          <w:szCs w:val="26"/>
        </w:rPr>
        <w:t>несение и актуализаци</w:t>
      </w:r>
      <w:r>
        <w:rPr>
          <w:rFonts w:ascii="Times New Roman" w:hAnsi="Times New Roman"/>
          <w:sz w:val="26"/>
          <w:szCs w:val="26"/>
        </w:rPr>
        <w:t>я</w:t>
      </w:r>
      <w:r w:rsidRPr="0053741F">
        <w:rPr>
          <w:rFonts w:ascii="Times New Roman" w:hAnsi="Times New Roman"/>
          <w:sz w:val="26"/>
          <w:szCs w:val="26"/>
        </w:rPr>
        <w:t xml:space="preserve"> сведений об услугах и мерах поддержки, оказываемых </w:t>
      </w:r>
      <w:r>
        <w:rPr>
          <w:rFonts w:ascii="Times New Roman" w:hAnsi="Times New Roman"/>
          <w:sz w:val="26"/>
          <w:szCs w:val="26"/>
        </w:rPr>
        <w:t>Фондом</w:t>
      </w:r>
      <w:r w:rsidRPr="0053741F">
        <w:rPr>
          <w:rFonts w:ascii="Times New Roman" w:hAnsi="Times New Roman"/>
          <w:sz w:val="26"/>
          <w:szCs w:val="26"/>
        </w:rPr>
        <w:t>, в электронном виде в реестр услуг организаций инфраструктуры поддержки ЦП МСП (далее - реестр услуг ОИП ЦП МСП);</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П</w:t>
      </w:r>
      <w:r w:rsidRPr="0053741F">
        <w:rPr>
          <w:rFonts w:ascii="Times New Roman" w:hAnsi="Times New Roman"/>
          <w:sz w:val="26"/>
          <w:szCs w:val="26"/>
        </w:rPr>
        <w:t>рием и обработк</w:t>
      </w:r>
      <w:r>
        <w:rPr>
          <w:rFonts w:ascii="Times New Roman" w:hAnsi="Times New Roman"/>
          <w:sz w:val="26"/>
          <w:szCs w:val="26"/>
        </w:rPr>
        <w:t>а</w:t>
      </w:r>
      <w:r w:rsidRPr="0053741F">
        <w:rPr>
          <w:rFonts w:ascii="Times New Roman" w:hAnsi="Times New Roman"/>
          <w:sz w:val="26"/>
          <w:szCs w:val="26"/>
        </w:rPr>
        <w:t xml:space="preserve"> заявок на оказание услуг и мер поддержки, внесенных </w:t>
      </w:r>
      <w:r>
        <w:rPr>
          <w:rFonts w:ascii="Times New Roman" w:hAnsi="Times New Roman"/>
          <w:sz w:val="26"/>
          <w:szCs w:val="26"/>
        </w:rPr>
        <w:t>Фондом</w:t>
      </w:r>
      <w:r w:rsidRPr="0053741F">
        <w:rPr>
          <w:rFonts w:ascii="Times New Roman" w:hAnsi="Times New Roman"/>
          <w:sz w:val="26"/>
          <w:szCs w:val="26"/>
        </w:rPr>
        <w:t xml:space="preserve"> в реестр услуг ОИП ЦП МСП, в электронном виде с использованием функционала ЦП МСП;</w:t>
      </w:r>
    </w:p>
    <w:p w:rsid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О</w:t>
      </w:r>
      <w:r w:rsidRPr="0053741F">
        <w:rPr>
          <w:rFonts w:ascii="Times New Roman" w:hAnsi="Times New Roman"/>
          <w:sz w:val="26"/>
          <w:szCs w:val="26"/>
        </w:rPr>
        <w:t xml:space="preserve">казание в приоритетном порядке услуг и мер поддержки, внесенных </w:t>
      </w:r>
      <w:r>
        <w:rPr>
          <w:rFonts w:ascii="Times New Roman" w:hAnsi="Times New Roman"/>
          <w:sz w:val="26"/>
          <w:szCs w:val="26"/>
        </w:rPr>
        <w:t>Фондом</w:t>
      </w:r>
      <w:r w:rsidRPr="0053741F">
        <w:rPr>
          <w:rFonts w:ascii="Times New Roman" w:hAnsi="Times New Roman"/>
          <w:sz w:val="26"/>
          <w:szCs w:val="26"/>
        </w:rPr>
        <w:t xml:space="preserve">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53741F" w:rsidRDefault="0053741F" w:rsidP="00366176">
      <w:pPr>
        <w:pStyle w:val="af5"/>
        <w:autoSpaceDE w:val="0"/>
        <w:autoSpaceDN w:val="0"/>
        <w:adjustRightInd w:val="0"/>
        <w:spacing w:before="120" w:after="240"/>
        <w:ind w:left="567"/>
        <w:jc w:val="both"/>
        <w:rPr>
          <w:rFonts w:ascii="Times New Roman" w:hAnsi="Times New Roman"/>
          <w:sz w:val="26"/>
          <w:szCs w:val="26"/>
        </w:rPr>
      </w:pPr>
    </w:p>
    <w:p w:rsidR="009D0A50" w:rsidRDefault="009D0A50"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Реализация</w:t>
      </w:r>
      <w:r w:rsidR="000719C5">
        <w:rPr>
          <w:rFonts w:ascii="Times New Roman" w:hAnsi="Times New Roman"/>
          <w:sz w:val="26"/>
          <w:szCs w:val="26"/>
        </w:rPr>
        <w:t xml:space="preserve"> Фондом, организацией, уполномоченной на осуществление функций регионального центра компетенций Приказом Министерства экономического развития, инвестиций, туризма и внешних связей Оренбургской области №7 от 28.01.2</w:t>
      </w:r>
      <w:r w:rsidR="0054632C">
        <w:rPr>
          <w:rFonts w:ascii="Times New Roman" w:hAnsi="Times New Roman"/>
          <w:sz w:val="26"/>
          <w:szCs w:val="26"/>
        </w:rPr>
        <w:t>0</w:t>
      </w:r>
      <w:r w:rsidR="000719C5">
        <w:rPr>
          <w:rFonts w:ascii="Times New Roman" w:hAnsi="Times New Roman"/>
          <w:sz w:val="26"/>
          <w:szCs w:val="26"/>
        </w:rPr>
        <w:t xml:space="preserve">20 г., </w:t>
      </w:r>
      <w:r>
        <w:rPr>
          <w:rFonts w:ascii="Times New Roman" w:hAnsi="Times New Roman"/>
          <w:sz w:val="26"/>
          <w:szCs w:val="26"/>
        </w:rPr>
        <w:t xml:space="preserve"> мероприятий </w:t>
      </w:r>
      <w:r w:rsidR="000719C5">
        <w:rPr>
          <w:rFonts w:ascii="Times New Roman" w:hAnsi="Times New Roman"/>
          <w:sz w:val="26"/>
          <w:szCs w:val="26"/>
        </w:rPr>
        <w:t>по «выращиванию» поставщиков – СМСП в целях их потенциального участия в закупках товаров, работ, услуг крупнейших заказчиков.</w:t>
      </w:r>
    </w:p>
    <w:p w:rsidR="00A03D08" w:rsidRDefault="00A03D08" w:rsidP="00366176">
      <w:pPr>
        <w:pStyle w:val="af5"/>
        <w:autoSpaceDE w:val="0"/>
        <w:autoSpaceDN w:val="0"/>
        <w:adjustRightInd w:val="0"/>
        <w:spacing w:before="120" w:after="240"/>
        <w:ind w:left="567"/>
        <w:jc w:val="both"/>
        <w:rPr>
          <w:rFonts w:ascii="Times New Roman" w:hAnsi="Times New Roman"/>
          <w:sz w:val="26"/>
          <w:szCs w:val="26"/>
        </w:rPr>
      </w:pPr>
    </w:p>
    <w:p w:rsidR="000B39E8" w:rsidRPr="000B39E8" w:rsidRDefault="000B39E8" w:rsidP="00366176">
      <w:pPr>
        <w:pStyle w:val="af5"/>
        <w:autoSpaceDE w:val="0"/>
        <w:autoSpaceDN w:val="0"/>
        <w:adjustRightInd w:val="0"/>
        <w:spacing w:before="120" w:after="240"/>
        <w:ind w:left="567"/>
        <w:jc w:val="both"/>
        <w:rPr>
          <w:rFonts w:ascii="Times New Roman" w:hAnsi="Times New Roman"/>
          <w:sz w:val="26"/>
          <w:szCs w:val="26"/>
        </w:rPr>
      </w:pPr>
    </w:p>
    <w:p w:rsidR="000B39E8" w:rsidRDefault="000B39E8" w:rsidP="000B39E8">
      <w:pPr>
        <w:pStyle w:val="af5"/>
        <w:numPr>
          <w:ilvl w:val="0"/>
          <w:numId w:val="26"/>
        </w:numPr>
        <w:autoSpaceDE w:val="0"/>
        <w:autoSpaceDN w:val="0"/>
        <w:adjustRightInd w:val="0"/>
        <w:spacing w:before="120" w:after="240"/>
        <w:jc w:val="both"/>
        <w:rPr>
          <w:rFonts w:ascii="Times New Roman" w:hAnsi="Times New Roman"/>
          <w:sz w:val="26"/>
          <w:szCs w:val="26"/>
        </w:rPr>
      </w:pPr>
      <w:r w:rsidRPr="000B39E8">
        <w:rPr>
          <w:rFonts w:ascii="Times New Roman" w:hAnsi="Times New Roman"/>
          <w:sz w:val="26"/>
          <w:szCs w:val="26"/>
        </w:rPr>
        <w:t>В целях  обеспечения отношения действующих поручительств</w:t>
      </w:r>
      <w:r w:rsidR="004C0793">
        <w:rPr>
          <w:rFonts w:ascii="Times New Roman" w:hAnsi="Times New Roman"/>
          <w:sz w:val="26"/>
          <w:szCs w:val="26"/>
        </w:rPr>
        <w:t xml:space="preserve"> и (или) независимых гарантий</w:t>
      </w:r>
      <w:r w:rsidRPr="000B39E8">
        <w:rPr>
          <w:rFonts w:ascii="Times New Roman" w:hAnsi="Times New Roman"/>
          <w:sz w:val="26"/>
          <w:szCs w:val="26"/>
        </w:rPr>
        <w:t xml:space="preserve"> Фонда, рассчитанных с учетом поручительств</w:t>
      </w:r>
      <w:r w:rsidR="004C0793">
        <w:rPr>
          <w:rFonts w:ascii="Times New Roman" w:hAnsi="Times New Roman"/>
          <w:sz w:val="26"/>
          <w:szCs w:val="26"/>
        </w:rPr>
        <w:t xml:space="preserve"> и (или) независимых гарантий</w:t>
      </w:r>
      <w:r w:rsidRPr="000B39E8">
        <w:rPr>
          <w:rFonts w:ascii="Times New Roman" w:hAnsi="Times New Roman"/>
          <w:sz w:val="26"/>
          <w:szCs w:val="26"/>
        </w:rPr>
        <w:t>, предоставленных СМСП и  организациям инфраструктуры поддержки</w:t>
      </w:r>
      <w:r w:rsidR="004C0793">
        <w:rPr>
          <w:rFonts w:ascii="Times New Roman" w:hAnsi="Times New Roman"/>
          <w:sz w:val="26"/>
          <w:szCs w:val="26"/>
        </w:rPr>
        <w:t>, а также физическим лицам, применяющим специальный налоговый режим «Налог на профессиональный доход»,</w:t>
      </w:r>
      <w:r w:rsidRPr="000B39E8">
        <w:rPr>
          <w:rFonts w:ascii="Times New Roman" w:hAnsi="Times New Roman"/>
          <w:sz w:val="26"/>
          <w:szCs w:val="26"/>
        </w:rPr>
        <w:t xml:space="preserve"> в рамках </w:t>
      </w:r>
      <w:proofErr w:type="spellStart"/>
      <w:r w:rsidRPr="000B39E8">
        <w:rPr>
          <w:rFonts w:ascii="Times New Roman" w:hAnsi="Times New Roman"/>
          <w:sz w:val="26"/>
          <w:szCs w:val="26"/>
        </w:rPr>
        <w:t>согарантий</w:t>
      </w:r>
      <w:proofErr w:type="spellEnd"/>
      <w:r w:rsidRPr="000B39E8">
        <w:rPr>
          <w:rFonts w:ascii="Times New Roman" w:hAnsi="Times New Roman"/>
          <w:sz w:val="26"/>
          <w:szCs w:val="26"/>
        </w:rPr>
        <w:t xml:space="preserve"> в части, обеспеченной поручительствами</w:t>
      </w:r>
      <w:r w:rsidR="004C0793">
        <w:rPr>
          <w:rFonts w:ascii="Times New Roman" w:hAnsi="Times New Roman"/>
          <w:sz w:val="26"/>
          <w:szCs w:val="26"/>
        </w:rPr>
        <w:t xml:space="preserve"> и (или) независимыми гарантиями </w:t>
      </w:r>
      <w:r w:rsidRPr="000B39E8">
        <w:rPr>
          <w:rFonts w:ascii="Times New Roman" w:hAnsi="Times New Roman"/>
          <w:sz w:val="26"/>
          <w:szCs w:val="26"/>
        </w:rPr>
        <w:t xml:space="preserve"> Фонда (при наличии сделок по </w:t>
      </w:r>
      <w:proofErr w:type="spellStart"/>
      <w:r w:rsidRPr="000B39E8">
        <w:rPr>
          <w:rFonts w:ascii="Times New Roman" w:hAnsi="Times New Roman"/>
          <w:sz w:val="26"/>
          <w:szCs w:val="26"/>
        </w:rPr>
        <w:t>согарантии</w:t>
      </w:r>
      <w:proofErr w:type="spellEnd"/>
      <w:r w:rsidRPr="000B39E8">
        <w:rPr>
          <w:rFonts w:ascii="Times New Roman" w:hAnsi="Times New Roman"/>
          <w:sz w:val="26"/>
          <w:szCs w:val="26"/>
        </w:rPr>
        <w:t>), к сумме ее гарантийного капитала на отчетную дату</w:t>
      </w:r>
      <w:r>
        <w:rPr>
          <w:rFonts w:ascii="Times New Roman" w:hAnsi="Times New Roman"/>
          <w:sz w:val="26"/>
          <w:szCs w:val="26"/>
        </w:rPr>
        <w:t>:</w:t>
      </w:r>
    </w:p>
    <w:p w:rsidR="000B39E8" w:rsidRDefault="000B39E8" w:rsidP="00AB380B">
      <w:pPr>
        <w:autoSpaceDE w:val="0"/>
        <w:autoSpaceDN w:val="0"/>
        <w:adjustRightInd w:val="0"/>
        <w:spacing w:before="120" w:after="240"/>
        <w:ind w:firstLine="567"/>
        <w:jc w:val="both"/>
        <w:rPr>
          <w:sz w:val="26"/>
          <w:szCs w:val="26"/>
        </w:rPr>
      </w:pPr>
      <w:r>
        <w:rPr>
          <w:sz w:val="26"/>
          <w:szCs w:val="26"/>
        </w:rPr>
        <w:lastRenderedPageBreak/>
        <w:t>- Внедрение и совершенствование си</w:t>
      </w:r>
      <w:r w:rsidR="0007406C">
        <w:rPr>
          <w:sz w:val="26"/>
          <w:szCs w:val="26"/>
        </w:rPr>
        <w:t>стемы оценки риска возникновения у Фонда потерь (убытков) вследствие неисполнения, несвоевременного либо неполного исполнения СМСП, организациями инфраструктуры поддержки,</w:t>
      </w:r>
      <w:r w:rsidR="004C0793">
        <w:rPr>
          <w:sz w:val="26"/>
          <w:szCs w:val="26"/>
        </w:rPr>
        <w:t xml:space="preserve"> </w:t>
      </w:r>
      <w:r w:rsidR="004C0793" w:rsidRPr="004C0793">
        <w:rPr>
          <w:sz w:val="26"/>
          <w:szCs w:val="26"/>
        </w:rPr>
        <w:t>а также физическим</w:t>
      </w:r>
      <w:r w:rsidR="004C0793">
        <w:rPr>
          <w:sz w:val="26"/>
          <w:szCs w:val="26"/>
        </w:rPr>
        <w:t>и</w:t>
      </w:r>
      <w:r w:rsidR="004C0793" w:rsidRPr="004C0793">
        <w:rPr>
          <w:sz w:val="26"/>
          <w:szCs w:val="26"/>
        </w:rPr>
        <w:t xml:space="preserve"> лицам</w:t>
      </w:r>
      <w:r w:rsidR="004C0793">
        <w:rPr>
          <w:sz w:val="26"/>
          <w:szCs w:val="26"/>
        </w:rPr>
        <w:t>и</w:t>
      </w:r>
      <w:r w:rsidR="004C0793" w:rsidRPr="004C0793">
        <w:rPr>
          <w:sz w:val="26"/>
          <w:szCs w:val="26"/>
        </w:rPr>
        <w:t>, применяющим специальный налоговый режим «Налог на профессиональный доход»</w:t>
      </w:r>
      <w:r w:rsidR="0007406C">
        <w:rPr>
          <w:sz w:val="26"/>
          <w:szCs w:val="26"/>
        </w:rPr>
        <w:t xml:space="preserve"> обязательств, в обеспечение исполнения которых выдано поручительство (кредитный риск).</w:t>
      </w:r>
    </w:p>
    <w:p w:rsidR="0007406C" w:rsidRDefault="0007406C" w:rsidP="00AB380B">
      <w:pPr>
        <w:autoSpaceDE w:val="0"/>
        <w:autoSpaceDN w:val="0"/>
        <w:adjustRightInd w:val="0"/>
        <w:spacing w:before="120" w:after="240"/>
        <w:ind w:firstLine="567"/>
        <w:jc w:val="both"/>
        <w:rPr>
          <w:sz w:val="26"/>
          <w:szCs w:val="26"/>
        </w:rPr>
      </w:pPr>
      <w:r>
        <w:rPr>
          <w:sz w:val="26"/>
          <w:szCs w:val="26"/>
        </w:rPr>
        <w:t>- Организация и проведение регулярного мониторинга</w:t>
      </w:r>
      <w:r w:rsidR="00EF02DE">
        <w:rPr>
          <w:sz w:val="26"/>
          <w:szCs w:val="26"/>
        </w:rPr>
        <w:t xml:space="preserve"> деятельности</w:t>
      </w:r>
      <w:r>
        <w:rPr>
          <w:sz w:val="26"/>
          <w:szCs w:val="26"/>
        </w:rPr>
        <w:t xml:space="preserve"> Банков – участников </w:t>
      </w:r>
      <w:r w:rsidR="00EF02DE">
        <w:rPr>
          <w:sz w:val="26"/>
          <w:szCs w:val="26"/>
        </w:rPr>
        <w:t>П</w:t>
      </w:r>
      <w:r>
        <w:rPr>
          <w:sz w:val="26"/>
          <w:szCs w:val="26"/>
        </w:rPr>
        <w:t>рограммы предоставления поручительств</w:t>
      </w:r>
      <w:r w:rsidR="00131C6D">
        <w:rPr>
          <w:sz w:val="26"/>
          <w:szCs w:val="26"/>
        </w:rPr>
        <w:t xml:space="preserve"> и (или) независимых гарантий</w:t>
      </w:r>
      <w:r>
        <w:rPr>
          <w:sz w:val="26"/>
          <w:szCs w:val="26"/>
        </w:rPr>
        <w:t xml:space="preserve"> Фонда</w:t>
      </w:r>
      <w:r w:rsidR="00EF02DE">
        <w:rPr>
          <w:sz w:val="26"/>
          <w:szCs w:val="26"/>
        </w:rPr>
        <w:t>, на соответствие критериям, установленным Фондом.</w:t>
      </w:r>
    </w:p>
    <w:p w:rsidR="00EF02DE" w:rsidRDefault="00EF02DE" w:rsidP="00AB380B">
      <w:pPr>
        <w:autoSpaceDE w:val="0"/>
        <w:autoSpaceDN w:val="0"/>
        <w:adjustRightInd w:val="0"/>
        <w:spacing w:before="120" w:after="240"/>
        <w:ind w:firstLine="567"/>
        <w:jc w:val="both"/>
        <w:rPr>
          <w:sz w:val="26"/>
          <w:szCs w:val="26"/>
        </w:rPr>
      </w:pPr>
      <w:r>
        <w:rPr>
          <w:sz w:val="26"/>
          <w:szCs w:val="26"/>
        </w:rPr>
        <w:t xml:space="preserve">- Организация и проведение регулярного мониторинга </w:t>
      </w:r>
      <w:r w:rsidR="00757278">
        <w:rPr>
          <w:sz w:val="26"/>
          <w:szCs w:val="26"/>
        </w:rPr>
        <w:t xml:space="preserve">финансового состояния СМСП и организаций инфраструктуры </w:t>
      </w:r>
      <w:proofErr w:type="gramStart"/>
      <w:r w:rsidR="00757278">
        <w:rPr>
          <w:sz w:val="26"/>
          <w:szCs w:val="26"/>
        </w:rPr>
        <w:t>поддержки</w:t>
      </w:r>
      <w:r w:rsidR="00131C6D">
        <w:rPr>
          <w:sz w:val="26"/>
          <w:szCs w:val="26"/>
        </w:rPr>
        <w:t xml:space="preserve">, </w:t>
      </w:r>
      <w:r w:rsidR="00757278">
        <w:rPr>
          <w:sz w:val="26"/>
          <w:szCs w:val="26"/>
        </w:rPr>
        <w:t xml:space="preserve"> </w:t>
      </w:r>
      <w:r w:rsidR="00131C6D" w:rsidRPr="00131C6D">
        <w:rPr>
          <w:sz w:val="26"/>
          <w:szCs w:val="26"/>
        </w:rPr>
        <w:t>а</w:t>
      </w:r>
      <w:proofErr w:type="gramEnd"/>
      <w:r w:rsidR="00131C6D" w:rsidRPr="00131C6D">
        <w:rPr>
          <w:sz w:val="26"/>
          <w:szCs w:val="26"/>
        </w:rPr>
        <w:t xml:space="preserve"> также физически</w:t>
      </w:r>
      <w:r w:rsidR="00131C6D">
        <w:rPr>
          <w:sz w:val="26"/>
          <w:szCs w:val="26"/>
        </w:rPr>
        <w:t>х</w:t>
      </w:r>
      <w:r w:rsidR="00131C6D" w:rsidRPr="00131C6D">
        <w:rPr>
          <w:sz w:val="26"/>
          <w:szCs w:val="26"/>
        </w:rPr>
        <w:t xml:space="preserve"> лиц, применяющи</w:t>
      </w:r>
      <w:r w:rsidR="00131C6D">
        <w:rPr>
          <w:sz w:val="26"/>
          <w:szCs w:val="26"/>
        </w:rPr>
        <w:t>х</w:t>
      </w:r>
      <w:r w:rsidR="00131C6D" w:rsidRPr="00131C6D">
        <w:rPr>
          <w:sz w:val="26"/>
          <w:szCs w:val="26"/>
        </w:rPr>
        <w:t xml:space="preserve"> специальный налоговый режим «Налог на профессиональный доход»</w:t>
      </w:r>
      <w:r w:rsidR="00131C6D">
        <w:rPr>
          <w:sz w:val="26"/>
          <w:szCs w:val="26"/>
        </w:rPr>
        <w:t xml:space="preserve"> </w:t>
      </w:r>
      <w:r w:rsidR="00757278">
        <w:rPr>
          <w:sz w:val="26"/>
          <w:szCs w:val="26"/>
        </w:rPr>
        <w:t>и состояния залогового обеспечения, в течение</w:t>
      </w:r>
      <w:r>
        <w:rPr>
          <w:sz w:val="26"/>
          <w:szCs w:val="26"/>
        </w:rPr>
        <w:t xml:space="preserve"> </w:t>
      </w:r>
      <w:r w:rsidR="00757278">
        <w:rPr>
          <w:sz w:val="26"/>
          <w:szCs w:val="26"/>
        </w:rPr>
        <w:t xml:space="preserve">срока действия договора, обеспеченного поручительством </w:t>
      </w:r>
      <w:r w:rsidR="00131C6D">
        <w:rPr>
          <w:sz w:val="26"/>
          <w:szCs w:val="26"/>
        </w:rPr>
        <w:t xml:space="preserve"> и (или) независимой гарантией </w:t>
      </w:r>
      <w:r w:rsidR="00757278">
        <w:rPr>
          <w:sz w:val="26"/>
          <w:szCs w:val="26"/>
        </w:rPr>
        <w:t>Фонда.</w:t>
      </w:r>
    </w:p>
    <w:p w:rsidR="003017EE" w:rsidRDefault="00757278" w:rsidP="00AB380B">
      <w:pPr>
        <w:autoSpaceDE w:val="0"/>
        <w:autoSpaceDN w:val="0"/>
        <w:adjustRightInd w:val="0"/>
        <w:spacing w:before="120" w:after="240"/>
        <w:ind w:firstLine="567"/>
        <w:jc w:val="both"/>
        <w:rPr>
          <w:sz w:val="26"/>
          <w:szCs w:val="26"/>
        </w:rPr>
      </w:pPr>
      <w:r>
        <w:rPr>
          <w:sz w:val="26"/>
          <w:szCs w:val="26"/>
        </w:rPr>
        <w:t>- Проведение Фондом регулярного мониторинга соотношения действующих поручительств</w:t>
      </w:r>
      <w:r w:rsidR="00131C6D">
        <w:rPr>
          <w:sz w:val="26"/>
          <w:szCs w:val="26"/>
        </w:rPr>
        <w:t xml:space="preserve"> и (или) независимых гарантий</w:t>
      </w:r>
      <w:r>
        <w:rPr>
          <w:sz w:val="26"/>
          <w:szCs w:val="26"/>
        </w:rPr>
        <w:t xml:space="preserve"> к размеру гарантийного капитала и принятие своевременных мер по обеспечению уровня не ниже минимально допустимого.</w:t>
      </w:r>
    </w:p>
    <w:p w:rsidR="00757278" w:rsidRDefault="003017EE" w:rsidP="00AB380B">
      <w:pPr>
        <w:autoSpaceDE w:val="0"/>
        <w:autoSpaceDN w:val="0"/>
        <w:adjustRightInd w:val="0"/>
        <w:spacing w:before="120" w:after="240"/>
        <w:ind w:firstLine="567"/>
        <w:jc w:val="both"/>
        <w:rPr>
          <w:sz w:val="26"/>
          <w:szCs w:val="26"/>
        </w:rPr>
      </w:pPr>
      <w:r>
        <w:rPr>
          <w:sz w:val="26"/>
          <w:szCs w:val="26"/>
        </w:rPr>
        <w:t>- Обеспечение ежегодного прироста</w:t>
      </w:r>
      <w:r w:rsidR="00757278">
        <w:rPr>
          <w:sz w:val="26"/>
          <w:szCs w:val="26"/>
        </w:rPr>
        <w:t xml:space="preserve"> </w:t>
      </w:r>
      <w:r w:rsidRPr="00366176">
        <w:rPr>
          <w:bCs/>
          <w:sz w:val="26"/>
          <w:szCs w:val="26"/>
        </w:rPr>
        <w:t>размера поручительств</w:t>
      </w:r>
      <w:r w:rsidR="00131C6D">
        <w:rPr>
          <w:bCs/>
          <w:sz w:val="26"/>
          <w:szCs w:val="26"/>
        </w:rPr>
        <w:t xml:space="preserve"> и (или) независимых гарантий</w:t>
      </w:r>
      <w:r w:rsidRPr="00366176">
        <w:rPr>
          <w:bCs/>
          <w:sz w:val="26"/>
          <w:szCs w:val="26"/>
        </w:rPr>
        <w:t xml:space="preserve">, предоставленных </w:t>
      </w:r>
      <w:r w:rsidRPr="00366176">
        <w:rPr>
          <w:sz w:val="26"/>
          <w:szCs w:val="26"/>
        </w:rPr>
        <w:t>СМСП и  организациям инфраструктуры поддержки,</w:t>
      </w:r>
      <w:r w:rsidR="00131C6D">
        <w:rPr>
          <w:sz w:val="26"/>
          <w:szCs w:val="26"/>
        </w:rPr>
        <w:t xml:space="preserve"> </w:t>
      </w:r>
      <w:r w:rsidRPr="00366176">
        <w:rPr>
          <w:sz w:val="26"/>
          <w:szCs w:val="26"/>
        </w:rPr>
        <w:t xml:space="preserve"> </w:t>
      </w:r>
      <w:r w:rsidR="00131C6D" w:rsidRPr="00131C6D">
        <w:rPr>
          <w:sz w:val="26"/>
          <w:szCs w:val="26"/>
        </w:rPr>
        <w:t>а также физическим лицам, применяющим специальный налоговый режим «Налог на профессиональный доход»</w:t>
      </w:r>
      <w:r w:rsidR="00131C6D">
        <w:rPr>
          <w:sz w:val="26"/>
          <w:szCs w:val="26"/>
        </w:rPr>
        <w:t xml:space="preserve">, </w:t>
      </w:r>
      <w:r w:rsidRPr="00366176">
        <w:rPr>
          <w:sz w:val="26"/>
          <w:szCs w:val="26"/>
        </w:rPr>
        <w:t xml:space="preserve">с учетом поручительств, выданных в рамках </w:t>
      </w:r>
      <w:proofErr w:type="spellStart"/>
      <w:r w:rsidRPr="00366176">
        <w:rPr>
          <w:sz w:val="26"/>
          <w:szCs w:val="26"/>
        </w:rPr>
        <w:t>согарантий</w:t>
      </w:r>
      <w:proofErr w:type="spellEnd"/>
      <w:r w:rsidRPr="00366176">
        <w:rPr>
          <w:sz w:val="26"/>
          <w:szCs w:val="26"/>
        </w:rPr>
        <w:t xml:space="preserve"> в части, обеспеченной поручительствами</w:t>
      </w:r>
      <w:r w:rsidR="00131C6D">
        <w:rPr>
          <w:sz w:val="26"/>
          <w:szCs w:val="26"/>
        </w:rPr>
        <w:t xml:space="preserve"> и (или) независимыми гарантиями</w:t>
      </w:r>
      <w:r w:rsidRPr="00366176">
        <w:rPr>
          <w:sz w:val="26"/>
          <w:szCs w:val="26"/>
        </w:rPr>
        <w:t xml:space="preserve"> Фонда (при наличии сделок по </w:t>
      </w:r>
      <w:proofErr w:type="spellStart"/>
      <w:r w:rsidRPr="00366176">
        <w:rPr>
          <w:sz w:val="26"/>
          <w:szCs w:val="26"/>
        </w:rPr>
        <w:t>согарантии</w:t>
      </w:r>
      <w:proofErr w:type="spellEnd"/>
      <w:r w:rsidRPr="00366176">
        <w:rPr>
          <w:sz w:val="26"/>
          <w:szCs w:val="26"/>
        </w:rPr>
        <w:t>)</w:t>
      </w:r>
      <w:r>
        <w:rPr>
          <w:sz w:val="26"/>
          <w:szCs w:val="26"/>
        </w:rPr>
        <w:t>.</w:t>
      </w:r>
    </w:p>
    <w:p w:rsidR="00A03D08" w:rsidRDefault="00A03D08" w:rsidP="00AB380B">
      <w:pPr>
        <w:autoSpaceDE w:val="0"/>
        <w:autoSpaceDN w:val="0"/>
        <w:adjustRightInd w:val="0"/>
        <w:spacing w:before="120" w:after="240"/>
        <w:ind w:firstLine="567"/>
        <w:jc w:val="both"/>
        <w:rPr>
          <w:sz w:val="26"/>
          <w:szCs w:val="26"/>
        </w:rPr>
      </w:pPr>
    </w:p>
    <w:p w:rsidR="003017EE" w:rsidRDefault="003017EE" w:rsidP="003017EE">
      <w:pPr>
        <w:pStyle w:val="af5"/>
        <w:numPr>
          <w:ilvl w:val="0"/>
          <w:numId w:val="26"/>
        </w:numPr>
        <w:autoSpaceDE w:val="0"/>
        <w:autoSpaceDN w:val="0"/>
        <w:adjustRightInd w:val="0"/>
        <w:spacing w:before="120" w:after="240"/>
        <w:jc w:val="both"/>
        <w:rPr>
          <w:rFonts w:ascii="Times New Roman" w:hAnsi="Times New Roman"/>
          <w:sz w:val="26"/>
          <w:szCs w:val="26"/>
        </w:rPr>
      </w:pPr>
      <w:r w:rsidRPr="003017EE">
        <w:rPr>
          <w:rFonts w:ascii="Times New Roman" w:hAnsi="Times New Roman"/>
          <w:sz w:val="26"/>
          <w:szCs w:val="26"/>
        </w:rPr>
        <w:t>В целях обеспечения результата от операционной и финансовой деятельности за год по основному виду деятельности Фонда на уровне, не ниже запланированного на каждый год планового периода:</w:t>
      </w:r>
    </w:p>
    <w:p w:rsidR="003017EE" w:rsidRDefault="003017EE" w:rsidP="003017EE">
      <w:pPr>
        <w:autoSpaceDE w:val="0"/>
        <w:autoSpaceDN w:val="0"/>
        <w:adjustRightInd w:val="0"/>
        <w:spacing w:before="120" w:after="240"/>
        <w:ind w:firstLine="567"/>
        <w:jc w:val="both"/>
        <w:rPr>
          <w:sz w:val="26"/>
          <w:szCs w:val="26"/>
        </w:rPr>
      </w:pPr>
      <w:r>
        <w:rPr>
          <w:sz w:val="26"/>
          <w:szCs w:val="26"/>
        </w:rPr>
        <w:t>- Размещение временно свободных денежных средств гарантийного капитала Фонда в депозиты банков, в соответствии с установленным порядком.</w:t>
      </w:r>
    </w:p>
    <w:p w:rsidR="003017EE" w:rsidRDefault="003017EE" w:rsidP="003017EE">
      <w:pPr>
        <w:autoSpaceDE w:val="0"/>
        <w:autoSpaceDN w:val="0"/>
        <w:adjustRightInd w:val="0"/>
        <w:spacing w:before="120" w:after="240"/>
        <w:ind w:firstLine="567"/>
        <w:jc w:val="both"/>
        <w:rPr>
          <w:sz w:val="26"/>
          <w:szCs w:val="26"/>
        </w:rPr>
      </w:pPr>
      <w:r>
        <w:rPr>
          <w:sz w:val="26"/>
          <w:szCs w:val="26"/>
        </w:rPr>
        <w:t>- Организация и проведение регулярного мониторинга деятельности банков, в которых размещены временно свободные денежные средства гарантийного капитала Фонда, на соответствие критериям, установленным Фондом для размещения денежных средств в депозиты банков.</w:t>
      </w:r>
    </w:p>
    <w:p w:rsidR="003017EE" w:rsidRDefault="003017EE" w:rsidP="003017EE">
      <w:pPr>
        <w:autoSpaceDE w:val="0"/>
        <w:autoSpaceDN w:val="0"/>
        <w:adjustRightInd w:val="0"/>
        <w:spacing w:before="120" w:after="240"/>
        <w:ind w:firstLine="567"/>
        <w:jc w:val="both"/>
        <w:rPr>
          <w:sz w:val="26"/>
          <w:szCs w:val="26"/>
        </w:rPr>
      </w:pPr>
      <w:r>
        <w:rPr>
          <w:sz w:val="26"/>
          <w:szCs w:val="26"/>
        </w:rPr>
        <w:t>- Проведение обязательного ежегодного аудита Фонда, в соответствии с требованиями установленными в Фонде.</w:t>
      </w:r>
    </w:p>
    <w:p w:rsidR="00847040" w:rsidRDefault="00847040" w:rsidP="00847040">
      <w:pPr>
        <w:keepLines/>
        <w:ind w:firstLine="709"/>
        <w:jc w:val="both"/>
        <w:rPr>
          <w:color w:val="000000"/>
          <w:sz w:val="26"/>
          <w:szCs w:val="26"/>
        </w:rPr>
      </w:pPr>
      <w:r>
        <w:rPr>
          <w:color w:val="000000"/>
          <w:sz w:val="26"/>
          <w:szCs w:val="26"/>
        </w:rPr>
        <w:lastRenderedPageBreak/>
        <w:t xml:space="preserve">- Получение оценки соблюдения требований статьи 15.2 Федерального закона от 24.07.2007 г. №209-ФЗ «О развитии малого и среднего предпринимательства в Российской Федерации», проводимой </w:t>
      </w:r>
      <w:r>
        <w:rPr>
          <w:color w:val="000000"/>
          <w:sz w:val="26"/>
          <w:szCs w:val="26"/>
          <w:shd w:val="clear" w:color="auto" w:fill="FFFFFF"/>
        </w:rPr>
        <w:t>Акционерным обществом «Федеральная корпорация по развитию малого и среднего предпринимательства»,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sz w:val="26"/>
          <w:szCs w:val="26"/>
        </w:rPr>
        <w:t xml:space="preserve"> </w:t>
      </w:r>
    </w:p>
    <w:p w:rsidR="00E409D6" w:rsidRDefault="009329BC" w:rsidP="00847040">
      <w:pPr>
        <w:keepLines/>
        <w:ind w:firstLine="709"/>
        <w:jc w:val="both"/>
        <w:rPr>
          <w:color w:val="000000"/>
          <w:sz w:val="26"/>
          <w:szCs w:val="26"/>
        </w:rPr>
      </w:pPr>
      <w:r>
        <w:rPr>
          <w:color w:val="000000"/>
          <w:sz w:val="26"/>
          <w:szCs w:val="26"/>
        </w:rPr>
        <w:t>-  Е</w:t>
      </w:r>
      <w:r w:rsidRPr="009329BC">
        <w:rPr>
          <w:color w:val="000000"/>
          <w:sz w:val="26"/>
          <w:szCs w:val="26"/>
        </w:rPr>
        <w:t>жегодно</w:t>
      </w:r>
      <w:r>
        <w:rPr>
          <w:color w:val="000000"/>
          <w:sz w:val="26"/>
          <w:szCs w:val="26"/>
        </w:rPr>
        <w:t>е</w:t>
      </w:r>
      <w:r w:rsidRPr="009329BC">
        <w:rPr>
          <w:color w:val="000000"/>
          <w:sz w:val="26"/>
          <w:szCs w:val="26"/>
        </w:rPr>
        <w:t xml:space="preserve"> ранжировани</w:t>
      </w:r>
      <w:r>
        <w:rPr>
          <w:color w:val="000000"/>
          <w:sz w:val="26"/>
          <w:szCs w:val="26"/>
        </w:rPr>
        <w:t>е</w:t>
      </w:r>
      <w:r w:rsidRPr="009329BC">
        <w:rPr>
          <w:color w:val="000000"/>
          <w:sz w:val="26"/>
          <w:szCs w:val="26"/>
        </w:rPr>
        <w:t xml:space="preserve"> акционерным обществом «Федеральная корпорация по развитию малого и среднего предпринимательства» с присвоением ранга, характеризующего степень финансовой устойчивости и эффективность деятельности Фонда как участника национальной гарантийной системы, в соответствии с Федеральным законом от 24  июля 2007 г. №209-ФЗ «О развитии малого и среднего предпринимательства в Российской Федерации»</w:t>
      </w:r>
      <w:r>
        <w:rPr>
          <w:color w:val="000000"/>
          <w:sz w:val="26"/>
          <w:szCs w:val="26"/>
        </w:rPr>
        <w:t>.</w:t>
      </w:r>
    </w:p>
    <w:p w:rsidR="002C7EC0" w:rsidRDefault="002C7EC0" w:rsidP="00847040">
      <w:pPr>
        <w:keepLines/>
        <w:ind w:firstLine="709"/>
        <w:jc w:val="both"/>
        <w:rPr>
          <w:color w:val="000000"/>
          <w:sz w:val="26"/>
          <w:szCs w:val="26"/>
        </w:rPr>
      </w:pPr>
      <w:r>
        <w:rPr>
          <w:color w:val="000000"/>
          <w:sz w:val="26"/>
          <w:szCs w:val="26"/>
        </w:rPr>
        <w:t>- Пополнение гарантийного капитала Фонда из различных законных источников, с целью обеспечения его финансовой устойчивости.</w:t>
      </w:r>
    </w:p>
    <w:p w:rsidR="002C7EC0" w:rsidRDefault="002C7EC0" w:rsidP="00847040">
      <w:pPr>
        <w:keepLines/>
        <w:ind w:firstLine="709"/>
        <w:jc w:val="both"/>
        <w:rPr>
          <w:color w:val="000000"/>
          <w:sz w:val="26"/>
          <w:szCs w:val="26"/>
        </w:rPr>
      </w:pPr>
      <w:r>
        <w:rPr>
          <w:color w:val="000000"/>
          <w:sz w:val="26"/>
          <w:szCs w:val="26"/>
        </w:rPr>
        <w:t>- Формирование в установленном в Фонде порядке резервов по долгам с непогашенной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СМСП</w:t>
      </w:r>
      <w:r w:rsidR="009329BC">
        <w:rPr>
          <w:color w:val="000000"/>
          <w:sz w:val="26"/>
          <w:szCs w:val="26"/>
        </w:rPr>
        <w:t>, физических лиц, применяющих специальный налоговый режим «Налог на профессиональный доход»,</w:t>
      </w:r>
      <w:r>
        <w:rPr>
          <w:color w:val="000000"/>
          <w:sz w:val="26"/>
          <w:szCs w:val="26"/>
        </w:rPr>
        <w:t xml:space="preserve"> и (или) организаций инфраструктуры поддержки, в обеспечение исполнения которых выдано поручительство</w:t>
      </w:r>
      <w:r w:rsidR="009329BC">
        <w:rPr>
          <w:color w:val="000000"/>
          <w:sz w:val="26"/>
          <w:szCs w:val="26"/>
        </w:rPr>
        <w:t xml:space="preserve"> и  (или) независимая гарантия </w:t>
      </w:r>
      <w:r>
        <w:rPr>
          <w:color w:val="000000"/>
          <w:sz w:val="26"/>
          <w:szCs w:val="26"/>
        </w:rPr>
        <w:t xml:space="preserve"> Фонда.</w:t>
      </w:r>
    </w:p>
    <w:p w:rsidR="002C7EC0" w:rsidRDefault="002C7EC0" w:rsidP="00847040">
      <w:pPr>
        <w:keepLines/>
        <w:ind w:firstLine="709"/>
        <w:jc w:val="both"/>
        <w:rPr>
          <w:color w:val="000000"/>
          <w:sz w:val="26"/>
          <w:szCs w:val="26"/>
        </w:rPr>
      </w:pPr>
      <w:r>
        <w:rPr>
          <w:color w:val="000000"/>
          <w:sz w:val="26"/>
          <w:szCs w:val="26"/>
        </w:rPr>
        <w:t>- Установление в определенном порядке в Фонде допустимого размера убытков в связи с исполнением обязательств Фонда по договорам поручительства, включая допустимый размер убытков на каждый Банк – участник Программы предоставления поручительств Фонда.</w:t>
      </w:r>
    </w:p>
    <w:p w:rsidR="009D0A50" w:rsidRDefault="009D0A50" w:rsidP="00847040">
      <w:pPr>
        <w:keepLines/>
        <w:ind w:firstLine="709"/>
        <w:jc w:val="both"/>
        <w:rPr>
          <w:color w:val="000000"/>
          <w:sz w:val="26"/>
          <w:szCs w:val="26"/>
        </w:rPr>
      </w:pPr>
      <w:r>
        <w:rPr>
          <w:color w:val="000000"/>
          <w:sz w:val="26"/>
          <w:szCs w:val="26"/>
        </w:rPr>
        <w:t>- Организация работ с проблемной задолженностью, возникшей в результате просроченных платежей по обязательствам СМСП</w:t>
      </w:r>
      <w:r w:rsidR="009329BC">
        <w:rPr>
          <w:color w:val="000000"/>
          <w:sz w:val="26"/>
          <w:szCs w:val="26"/>
        </w:rPr>
        <w:t xml:space="preserve">, </w:t>
      </w:r>
      <w:r w:rsidR="009329BC" w:rsidRPr="009329BC">
        <w:rPr>
          <w:color w:val="000000"/>
          <w:sz w:val="26"/>
          <w:szCs w:val="26"/>
        </w:rPr>
        <w:t>физических лиц, применяющих специальный налоговый режим «Налог на профессиональный доход»</w:t>
      </w:r>
      <w:r w:rsidR="009329BC">
        <w:rPr>
          <w:color w:val="000000"/>
          <w:sz w:val="26"/>
          <w:szCs w:val="26"/>
        </w:rPr>
        <w:t>,</w:t>
      </w:r>
      <w:r>
        <w:rPr>
          <w:color w:val="000000"/>
          <w:sz w:val="26"/>
          <w:szCs w:val="26"/>
        </w:rPr>
        <w:t xml:space="preserve"> и (или) организаций инфраструктуры поддержки, основанных на договорах поручительства Фонда.</w:t>
      </w:r>
    </w:p>
    <w:p w:rsidR="002C7EC0" w:rsidRDefault="002C7EC0" w:rsidP="00847040">
      <w:pPr>
        <w:keepLines/>
        <w:ind w:firstLine="709"/>
        <w:jc w:val="both"/>
        <w:rPr>
          <w:color w:val="000000"/>
          <w:sz w:val="26"/>
          <w:szCs w:val="26"/>
        </w:rPr>
      </w:pPr>
      <w:r>
        <w:rPr>
          <w:color w:val="000000"/>
          <w:sz w:val="26"/>
          <w:szCs w:val="26"/>
        </w:rPr>
        <w:t>- Проведение в установленном порядке работы по взысканию сумм, выплаченных Фондом по договорам поручительства, в порядке предъявления регрессных требований, включая обращение взыскания на залоговое имущество.</w:t>
      </w:r>
    </w:p>
    <w:p w:rsidR="002C7EC0" w:rsidRDefault="002C7EC0" w:rsidP="00847040">
      <w:pPr>
        <w:keepLines/>
        <w:ind w:firstLine="709"/>
        <w:jc w:val="both"/>
        <w:rPr>
          <w:color w:val="000000"/>
          <w:sz w:val="26"/>
          <w:szCs w:val="26"/>
        </w:rPr>
      </w:pPr>
      <w:r>
        <w:rPr>
          <w:color w:val="000000"/>
          <w:sz w:val="26"/>
          <w:szCs w:val="26"/>
        </w:rPr>
        <w:t>- Совершенствование организационной структуры Фонда и повышение квалификации сотрудников Фонда с целью обеспе</w:t>
      </w:r>
      <w:r w:rsidR="00F34D1B">
        <w:rPr>
          <w:color w:val="000000"/>
          <w:sz w:val="26"/>
          <w:szCs w:val="26"/>
        </w:rPr>
        <w:t>чения эффективности работы Фонда</w:t>
      </w:r>
      <w:r>
        <w:rPr>
          <w:color w:val="000000"/>
          <w:sz w:val="26"/>
          <w:szCs w:val="26"/>
        </w:rPr>
        <w:t xml:space="preserve">.  </w:t>
      </w:r>
    </w:p>
    <w:p w:rsidR="00A03D08" w:rsidRDefault="00A03D08" w:rsidP="00847040">
      <w:pPr>
        <w:keepLines/>
        <w:ind w:firstLine="709"/>
        <w:jc w:val="both"/>
        <w:rPr>
          <w:color w:val="000000"/>
          <w:sz w:val="26"/>
          <w:szCs w:val="26"/>
        </w:rPr>
      </w:pPr>
      <w:r>
        <w:rPr>
          <w:color w:val="000000"/>
          <w:sz w:val="26"/>
          <w:szCs w:val="26"/>
        </w:rPr>
        <w:t>- Взаимодействие в части обмена опытом с региональными гарантийными организациями</w:t>
      </w:r>
      <w:r w:rsidR="00DB4E6B">
        <w:rPr>
          <w:color w:val="000000"/>
          <w:sz w:val="26"/>
          <w:szCs w:val="26"/>
        </w:rPr>
        <w:t>, осуществляющими аналогичную деятельность в других субъектах Российской Федерации.</w:t>
      </w:r>
    </w:p>
    <w:p w:rsidR="00DB4E6B" w:rsidRDefault="00DB4E6B" w:rsidP="00847040">
      <w:pPr>
        <w:keepLines/>
        <w:ind w:firstLine="709"/>
        <w:jc w:val="both"/>
        <w:rPr>
          <w:color w:val="000000"/>
          <w:sz w:val="26"/>
          <w:szCs w:val="26"/>
        </w:rPr>
      </w:pPr>
    </w:p>
    <w:p w:rsidR="00DB4E6B" w:rsidRDefault="00DB4E6B" w:rsidP="00847040">
      <w:pPr>
        <w:keepLines/>
        <w:ind w:firstLine="709"/>
        <w:jc w:val="both"/>
        <w:rPr>
          <w:color w:val="000000"/>
          <w:sz w:val="26"/>
          <w:szCs w:val="26"/>
        </w:rPr>
      </w:pPr>
    </w:p>
    <w:p w:rsidR="002C7EC0" w:rsidRDefault="002C7EC0" w:rsidP="00847040">
      <w:pPr>
        <w:keepLines/>
        <w:ind w:firstLine="709"/>
        <w:jc w:val="both"/>
        <w:rPr>
          <w:color w:val="000000"/>
          <w:sz w:val="26"/>
          <w:szCs w:val="26"/>
        </w:rPr>
      </w:pPr>
      <w:r>
        <w:rPr>
          <w:color w:val="000000"/>
          <w:sz w:val="26"/>
          <w:szCs w:val="26"/>
        </w:rPr>
        <w:t xml:space="preserve"> </w:t>
      </w:r>
    </w:p>
    <w:p w:rsidR="00847040" w:rsidRPr="003017EE" w:rsidRDefault="00847040" w:rsidP="003017EE">
      <w:pPr>
        <w:autoSpaceDE w:val="0"/>
        <w:autoSpaceDN w:val="0"/>
        <w:adjustRightInd w:val="0"/>
        <w:spacing w:before="120" w:after="240"/>
        <w:ind w:firstLine="567"/>
        <w:jc w:val="both"/>
        <w:rPr>
          <w:sz w:val="26"/>
          <w:szCs w:val="26"/>
        </w:rPr>
      </w:pPr>
    </w:p>
    <w:p w:rsidR="00197178" w:rsidRPr="000B39E8" w:rsidRDefault="00197178" w:rsidP="00366176">
      <w:pPr>
        <w:pStyle w:val="af5"/>
        <w:autoSpaceDE w:val="0"/>
        <w:autoSpaceDN w:val="0"/>
        <w:adjustRightInd w:val="0"/>
        <w:spacing w:before="120" w:after="240"/>
        <w:ind w:left="567"/>
        <w:jc w:val="both"/>
        <w:rPr>
          <w:rFonts w:ascii="Times New Roman" w:hAnsi="Times New Roman"/>
          <w:sz w:val="26"/>
          <w:szCs w:val="26"/>
        </w:rPr>
      </w:pPr>
    </w:p>
    <w:p w:rsidR="00D0416B" w:rsidRPr="007477CF" w:rsidRDefault="00D0416B">
      <w:pPr>
        <w:keepLines/>
        <w:ind w:firstLine="567"/>
        <w:jc w:val="right"/>
        <w:rPr>
          <w:sz w:val="28"/>
          <w:szCs w:val="28"/>
        </w:rPr>
      </w:pPr>
    </w:p>
    <w:sectPr w:rsidR="00D0416B" w:rsidRPr="007477CF" w:rsidSect="00874CB2">
      <w:headerReference w:type="even" r:id="rId14"/>
      <w:headerReference w:type="default" r:id="rId15"/>
      <w:pgSz w:w="11906" w:h="16838" w:code="9"/>
      <w:pgMar w:top="851" w:right="680"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91" w:rsidRDefault="00480291">
      <w:r>
        <w:separator/>
      </w:r>
    </w:p>
  </w:endnote>
  <w:endnote w:type="continuationSeparator" w:id="0">
    <w:p w:rsidR="00480291" w:rsidRDefault="0048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91" w:rsidRDefault="00480291">
      <w:r>
        <w:separator/>
      </w:r>
    </w:p>
  </w:footnote>
  <w:footnote w:type="continuationSeparator" w:id="0">
    <w:p w:rsidR="00480291" w:rsidRDefault="0048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38" w:rsidRDefault="0070253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2538" w:rsidRDefault="0070253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38" w:rsidRPr="00FC7CBF" w:rsidRDefault="00702538">
    <w:pPr>
      <w:pStyle w:val="a6"/>
      <w:framePr w:wrap="around" w:vAnchor="text" w:hAnchor="margin" w:xAlign="right" w:y="1"/>
      <w:rPr>
        <w:rStyle w:val="a5"/>
        <w:sz w:val="20"/>
        <w:szCs w:val="20"/>
      </w:rPr>
    </w:pPr>
    <w:r w:rsidRPr="00FC7CBF">
      <w:rPr>
        <w:rStyle w:val="a5"/>
        <w:sz w:val="20"/>
        <w:szCs w:val="20"/>
      </w:rPr>
      <w:fldChar w:fldCharType="begin"/>
    </w:r>
    <w:r w:rsidRPr="00FC7CBF">
      <w:rPr>
        <w:rStyle w:val="a5"/>
        <w:sz w:val="20"/>
        <w:szCs w:val="20"/>
      </w:rPr>
      <w:instrText xml:space="preserve">PAGE  </w:instrText>
    </w:r>
    <w:r w:rsidRPr="00FC7CBF">
      <w:rPr>
        <w:rStyle w:val="a5"/>
        <w:sz w:val="20"/>
        <w:szCs w:val="20"/>
      </w:rPr>
      <w:fldChar w:fldCharType="separate"/>
    </w:r>
    <w:r>
      <w:rPr>
        <w:rStyle w:val="a5"/>
        <w:noProof/>
        <w:sz w:val="20"/>
        <w:szCs w:val="20"/>
      </w:rPr>
      <w:t>3</w:t>
    </w:r>
    <w:r w:rsidRPr="00FC7CBF">
      <w:rPr>
        <w:rStyle w:val="a5"/>
        <w:sz w:val="20"/>
        <w:szCs w:val="20"/>
      </w:rPr>
      <w:fldChar w:fldCharType="end"/>
    </w:r>
  </w:p>
  <w:p w:rsidR="00702538" w:rsidRDefault="0070253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A3C"/>
    <w:multiLevelType w:val="hybridMultilevel"/>
    <w:tmpl w:val="5AE8005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13F7DF9"/>
    <w:multiLevelType w:val="hybridMultilevel"/>
    <w:tmpl w:val="30CAFB32"/>
    <w:lvl w:ilvl="0" w:tplc="E68636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A84D35"/>
    <w:multiLevelType w:val="hybridMultilevel"/>
    <w:tmpl w:val="C8F01658"/>
    <w:lvl w:ilvl="0" w:tplc="A9DE570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40227"/>
    <w:multiLevelType w:val="hybridMultilevel"/>
    <w:tmpl w:val="3A8445FC"/>
    <w:lvl w:ilvl="0" w:tplc="4EF20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B6198"/>
    <w:multiLevelType w:val="hybridMultilevel"/>
    <w:tmpl w:val="BFD4CE5E"/>
    <w:lvl w:ilvl="0" w:tplc="0786E6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0AA6FEE"/>
    <w:multiLevelType w:val="hybridMultilevel"/>
    <w:tmpl w:val="25F6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 w15:restartNumberingAfterBreak="0">
    <w:nsid w:val="1B245B58"/>
    <w:multiLevelType w:val="multilevel"/>
    <w:tmpl w:val="F65A7EC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10" w15:restartNumberingAfterBreak="0">
    <w:nsid w:val="20A521FE"/>
    <w:multiLevelType w:val="hybridMultilevel"/>
    <w:tmpl w:val="96748E44"/>
    <w:lvl w:ilvl="0" w:tplc="0024C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EE2AC1"/>
    <w:multiLevelType w:val="hybridMultilevel"/>
    <w:tmpl w:val="64ACB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65C3C"/>
    <w:multiLevelType w:val="hybridMultilevel"/>
    <w:tmpl w:val="56FA3DD4"/>
    <w:lvl w:ilvl="0" w:tplc="8DBCDB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855C81"/>
    <w:multiLevelType w:val="multilevel"/>
    <w:tmpl w:val="0714DB74"/>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556" w:hanging="72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043" w:hanging="1080"/>
      </w:pPr>
      <w:rPr>
        <w:rFonts w:hint="default"/>
        <w:b/>
        <w:color w:val="auto"/>
      </w:rPr>
    </w:lvl>
    <w:lvl w:ilvl="8">
      <w:start w:val="1"/>
      <w:numFmt w:val="decimal"/>
      <w:lvlText w:val="%1.%2.%3.%4.%5.%6.%7.%8.%9."/>
      <w:lvlJc w:val="left"/>
      <w:pPr>
        <w:ind w:left="7112" w:hanging="1440"/>
      </w:pPr>
      <w:rPr>
        <w:rFonts w:hint="default"/>
        <w:b/>
        <w:color w:val="auto"/>
      </w:rPr>
    </w:lvl>
  </w:abstractNum>
  <w:abstractNum w:abstractNumId="14" w15:restartNumberingAfterBreak="0">
    <w:nsid w:val="2C8B7B19"/>
    <w:multiLevelType w:val="hybridMultilevel"/>
    <w:tmpl w:val="F14A4754"/>
    <w:lvl w:ilvl="0" w:tplc="F75E6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A293A29"/>
    <w:multiLevelType w:val="hybridMultilevel"/>
    <w:tmpl w:val="4BD6E51C"/>
    <w:lvl w:ilvl="0" w:tplc="DD3A7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D75953"/>
    <w:multiLevelType w:val="hybridMultilevel"/>
    <w:tmpl w:val="2FA0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9" w15:restartNumberingAfterBreak="0">
    <w:nsid w:val="5B3C5B52"/>
    <w:multiLevelType w:val="hybridMultilevel"/>
    <w:tmpl w:val="378A04C4"/>
    <w:lvl w:ilvl="0" w:tplc="C25A7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610ECB"/>
    <w:multiLevelType w:val="hybridMultilevel"/>
    <w:tmpl w:val="A5A8C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45E59"/>
    <w:multiLevelType w:val="hybridMultilevel"/>
    <w:tmpl w:val="0B04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346BFE"/>
    <w:multiLevelType w:val="hybridMultilevel"/>
    <w:tmpl w:val="89E4652A"/>
    <w:lvl w:ilvl="0" w:tplc="FEF24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5"/>
  </w:num>
  <w:num w:numId="2">
    <w:abstractNumId w:val="3"/>
  </w:num>
  <w:num w:numId="3">
    <w:abstractNumId w:val="18"/>
  </w:num>
  <w:num w:numId="4">
    <w:abstractNumId w:val="2"/>
  </w:num>
  <w:num w:numId="5">
    <w:abstractNumId w:val="15"/>
  </w:num>
  <w:num w:numId="6">
    <w:abstractNumId w:val="8"/>
  </w:num>
  <w:num w:numId="7">
    <w:abstractNumId w:val="17"/>
  </w:num>
  <w:num w:numId="8">
    <w:abstractNumId w:val="12"/>
  </w:num>
  <w:num w:numId="9">
    <w:abstractNumId w:val="20"/>
  </w:num>
  <w:num w:numId="10">
    <w:abstractNumId w:val="9"/>
  </w:num>
  <w:num w:numId="11">
    <w:abstractNumId w:val="13"/>
  </w:num>
  <w:num w:numId="12">
    <w:abstractNumId w:val="22"/>
  </w:num>
  <w:num w:numId="13">
    <w:abstractNumId w:val="14"/>
  </w:num>
  <w:num w:numId="14">
    <w:abstractNumId w:val="6"/>
  </w:num>
  <w:num w:numId="15">
    <w:abstractNumId w:val="16"/>
  </w:num>
  <w:num w:numId="16">
    <w:abstractNumId w:val="5"/>
  </w:num>
  <w:num w:numId="17">
    <w:abstractNumId w:val="23"/>
  </w:num>
  <w:num w:numId="18">
    <w:abstractNumId w:val="1"/>
  </w:num>
  <w:num w:numId="19">
    <w:abstractNumId w:val="19"/>
  </w:num>
  <w:num w:numId="20">
    <w:abstractNumId w:val="11"/>
  </w:num>
  <w:num w:numId="21">
    <w:abstractNumId w:val="4"/>
  </w:num>
  <w:num w:numId="22">
    <w:abstractNumId w:val="21"/>
  </w:num>
  <w:num w:numId="23">
    <w:abstractNumId w:val="0"/>
  </w:num>
  <w:num w:numId="24">
    <w:abstractNumId w:val="1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29"/>
    <w:rsid w:val="0000078D"/>
    <w:rsid w:val="00003A1C"/>
    <w:rsid w:val="00003DA4"/>
    <w:rsid w:val="00004FEA"/>
    <w:rsid w:val="000113FF"/>
    <w:rsid w:val="000138C3"/>
    <w:rsid w:val="00014947"/>
    <w:rsid w:val="00014B7E"/>
    <w:rsid w:val="0002244D"/>
    <w:rsid w:val="00022ABE"/>
    <w:rsid w:val="000271C4"/>
    <w:rsid w:val="00030270"/>
    <w:rsid w:val="0003454C"/>
    <w:rsid w:val="00035609"/>
    <w:rsid w:val="000365CD"/>
    <w:rsid w:val="0004311D"/>
    <w:rsid w:val="0004508D"/>
    <w:rsid w:val="00045A9F"/>
    <w:rsid w:val="00047CAF"/>
    <w:rsid w:val="00056173"/>
    <w:rsid w:val="00057845"/>
    <w:rsid w:val="000719C5"/>
    <w:rsid w:val="00071E01"/>
    <w:rsid w:val="00072C51"/>
    <w:rsid w:val="00072CEE"/>
    <w:rsid w:val="000732B6"/>
    <w:rsid w:val="0007406C"/>
    <w:rsid w:val="000764A0"/>
    <w:rsid w:val="000805EE"/>
    <w:rsid w:val="000839B4"/>
    <w:rsid w:val="00087941"/>
    <w:rsid w:val="00091A2C"/>
    <w:rsid w:val="00094332"/>
    <w:rsid w:val="000960FF"/>
    <w:rsid w:val="00097020"/>
    <w:rsid w:val="0009753C"/>
    <w:rsid w:val="000A0014"/>
    <w:rsid w:val="000A20C4"/>
    <w:rsid w:val="000A742D"/>
    <w:rsid w:val="000A7E4A"/>
    <w:rsid w:val="000A7E8A"/>
    <w:rsid w:val="000B03CE"/>
    <w:rsid w:val="000B259A"/>
    <w:rsid w:val="000B39E8"/>
    <w:rsid w:val="000B4001"/>
    <w:rsid w:val="000C0238"/>
    <w:rsid w:val="000C695E"/>
    <w:rsid w:val="000D0B3E"/>
    <w:rsid w:val="000E147C"/>
    <w:rsid w:val="000E165F"/>
    <w:rsid w:val="000E276C"/>
    <w:rsid w:val="000E6535"/>
    <w:rsid w:val="000E66EC"/>
    <w:rsid w:val="000E7DD6"/>
    <w:rsid w:val="001027F8"/>
    <w:rsid w:val="001062FB"/>
    <w:rsid w:val="001065DB"/>
    <w:rsid w:val="0011015A"/>
    <w:rsid w:val="00114C06"/>
    <w:rsid w:val="00115757"/>
    <w:rsid w:val="00117D02"/>
    <w:rsid w:val="001211C1"/>
    <w:rsid w:val="00131613"/>
    <w:rsid w:val="00131C6D"/>
    <w:rsid w:val="0013280C"/>
    <w:rsid w:val="001350E1"/>
    <w:rsid w:val="00146219"/>
    <w:rsid w:val="00146519"/>
    <w:rsid w:val="00146B63"/>
    <w:rsid w:val="00147881"/>
    <w:rsid w:val="00150859"/>
    <w:rsid w:val="001523AA"/>
    <w:rsid w:val="001535B2"/>
    <w:rsid w:val="00153891"/>
    <w:rsid w:val="00153D54"/>
    <w:rsid w:val="00161157"/>
    <w:rsid w:val="00164289"/>
    <w:rsid w:val="001644D1"/>
    <w:rsid w:val="00164705"/>
    <w:rsid w:val="00164C9B"/>
    <w:rsid w:val="00172A0C"/>
    <w:rsid w:val="0017414D"/>
    <w:rsid w:val="00174653"/>
    <w:rsid w:val="001805AC"/>
    <w:rsid w:val="001813D0"/>
    <w:rsid w:val="00182549"/>
    <w:rsid w:val="001859BB"/>
    <w:rsid w:val="00187404"/>
    <w:rsid w:val="00196554"/>
    <w:rsid w:val="0019674A"/>
    <w:rsid w:val="00197178"/>
    <w:rsid w:val="001A0CBF"/>
    <w:rsid w:val="001A3205"/>
    <w:rsid w:val="001A4D8A"/>
    <w:rsid w:val="001A5E62"/>
    <w:rsid w:val="001A71B8"/>
    <w:rsid w:val="001B55CA"/>
    <w:rsid w:val="001C1E06"/>
    <w:rsid w:val="001D3054"/>
    <w:rsid w:val="001D3A16"/>
    <w:rsid w:val="001D4316"/>
    <w:rsid w:val="001D4F80"/>
    <w:rsid w:val="001D54CC"/>
    <w:rsid w:val="001D7570"/>
    <w:rsid w:val="001E4CF3"/>
    <w:rsid w:val="001F3233"/>
    <w:rsid w:val="001F5AC0"/>
    <w:rsid w:val="001F6785"/>
    <w:rsid w:val="00205CE4"/>
    <w:rsid w:val="00207340"/>
    <w:rsid w:val="002177C8"/>
    <w:rsid w:val="0022138B"/>
    <w:rsid w:val="00222857"/>
    <w:rsid w:val="002275B1"/>
    <w:rsid w:val="00231B1D"/>
    <w:rsid w:val="00233237"/>
    <w:rsid w:val="002365A1"/>
    <w:rsid w:val="002416BA"/>
    <w:rsid w:val="002423E8"/>
    <w:rsid w:val="002507A9"/>
    <w:rsid w:val="002636F3"/>
    <w:rsid w:val="00263D5A"/>
    <w:rsid w:val="00266422"/>
    <w:rsid w:val="00271D70"/>
    <w:rsid w:val="00276A24"/>
    <w:rsid w:val="00280441"/>
    <w:rsid w:val="002838ED"/>
    <w:rsid w:val="00291D14"/>
    <w:rsid w:val="00292B71"/>
    <w:rsid w:val="00293799"/>
    <w:rsid w:val="0029398B"/>
    <w:rsid w:val="002A0A2E"/>
    <w:rsid w:val="002A5377"/>
    <w:rsid w:val="002B1811"/>
    <w:rsid w:val="002B2AB8"/>
    <w:rsid w:val="002B4901"/>
    <w:rsid w:val="002B6531"/>
    <w:rsid w:val="002C0B71"/>
    <w:rsid w:val="002C5C4D"/>
    <w:rsid w:val="002C6C58"/>
    <w:rsid w:val="002C78D9"/>
    <w:rsid w:val="002C7EC0"/>
    <w:rsid w:val="002D002F"/>
    <w:rsid w:val="002D1AAA"/>
    <w:rsid w:val="002D1BF3"/>
    <w:rsid w:val="002D5061"/>
    <w:rsid w:val="002E30B2"/>
    <w:rsid w:val="002E3D06"/>
    <w:rsid w:val="002E7D09"/>
    <w:rsid w:val="002F05A9"/>
    <w:rsid w:val="002F0CF9"/>
    <w:rsid w:val="002F3700"/>
    <w:rsid w:val="002F4BD3"/>
    <w:rsid w:val="003017EE"/>
    <w:rsid w:val="00303472"/>
    <w:rsid w:val="003041D2"/>
    <w:rsid w:val="00310A43"/>
    <w:rsid w:val="00313C48"/>
    <w:rsid w:val="0031631B"/>
    <w:rsid w:val="00322815"/>
    <w:rsid w:val="00325565"/>
    <w:rsid w:val="00326BC7"/>
    <w:rsid w:val="0033237D"/>
    <w:rsid w:val="0033515B"/>
    <w:rsid w:val="003361B0"/>
    <w:rsid w:val="00337F75"/>
    <w:rsid w:val="003448BA"/>
    <w:rsid w:val="00345077"/>
    <w:rsid w:val="003533AA"/>
    <w:rsid w:val="00354838"/>
    <w:rsid w:val="003616AF"/>
    <w:rsid w:val="00363124"/>
    <w:rsid w:val="00363152"/>
    <w:rsid w:val="00366176"/>
    <w:rsid w:val="003664D7"/>
    <w:rsid w:val="00370308"/>
    <w:rsid w:val="003735EB"/>
    <w:rsid w:val="00376E65"/>
    <w:rsid w:val="00380E83"/>
    <w:rsid w:val="00381DF0"/>
    <w:rsid w:val="00383AA1"/>
    <w:rsid w:val="003854F3"/>
    <w:rsid w:val="003860BA"/>
    <w:rsid w:val="003908E8"/>
    <w:rsid w:val="003917FC"/>
    <w:rsid w:val="0039182E"/>
    <w:rsid w:val="00393B2A"/>
    <w:rsid w:val="003A117D"/>
    <w:rsid w:val="003A32EA"/>
    <w:rsid w:val="003A3820"/>
    <w:rsid w:val="003A55AF"/>
    <w:rsid w:val="003A637E"/>
    <w:rsid w:val="003A7F9F"/>
    <w:rsid w:val="003B673B"/>
    <w:rsid w:val="003B68DB"/>
    <w:rsid w:val="003B6B49"/>
    <w:rsid w:val="003C068B"/>
    <w:rsid w:val="003D31D3"/>
    <w:rsid w:val="003D69B7"/>
    <w:rsid w:val="003D7B2E"/>
    <w:rsid w:val="003E172A"/>
    <w:rsid w:val="003E3FB2"/>
    <w:rsid w:val="003E7EF1"/>
    <w:rsid w:val="003F093F"/>
    <w:rsid w:val="003F217C"/>
    <w:rsid w:val="003F45F9"/>
    <w:rsid w:val="003F4757"/>
    <w:rsid w:val="003F4CA7"/>
    <w:rsid w:val="003F6C0D"/>
    <w:rsid w:val="00403907"/>
    <w:rsid w:val="0040605F"/>
    <w:rsid w:val="004106F3"/>
    <w:rsid w:val="00411616"/>
    <w:rsid w:val="0041510D"/>
    <w:rsid w:val="00415FEB"/>
    <w:rsid w:val="004228E1"/>
    <w:rsid w:val="004271CD"/>
    <w:rsid w:val="00432D65"/>
    <w:rsid w:val="00434104"/>
    <w:rsid w:val="0043577D"/>
    <w:rsid w:val="0044258D"/>
    <w:rsid w:val="00442ECC"/>
    <w:rsid w:val="0044548E"/>
    <w:rsid w:val="00446759"/>
    <w:rsid w:val="00446C0F"/>
    <w:rsid w:val="00450444"/>
    <w:rsid w:val="0045071C"/>
    <w:rsid w:val="004626A1"/>
    <w:rsid w:val="00464358"/>
    <w:rsid w:val="00476AED"/>
    <w:rsid w:val="00476C30"/>
    <w:rsid w:val="00476F16"/>
    <w:rsid w:val="004774A4"/>
    <w:rsid w:val="00477601"/>
    <w:rsid w:val="004777F7"/>
    <w:rsid w:val="00480291"/>
    <w:rsid w:val="0048337E"/>
    <w:rsid w:val="00483DDB"/>
    <w:rsid w:val="004864CC"/>
    <w:rsid w:val="00490AB4"/>
    <w:rsid w:val="00491EC6"/>
    <w:rsid w:val="00497384"/>
    <w:rsid w:val="004977BF"/>
    <w:rsid w:val="004A2FE6"/>
    <w:rsid w:val="004A3A33"/>
    <w:rsid w:val="004B1C68"/>
    <w:rsid w:val="004B236E"/>
    <w:rsid w:val="004B5197"/>
    <w:rsid w:val="004B7218"/>
    <w:rsid w:val="004B7C57"/>
    <w:rsid w:val="004C0793"/>
    <w:rsid w:val="004C213E"/>
    <w:rsid w:val="004C65FE"/>
    <w:rsid w:val="004D0AD7"/>
    <w:rsid w:val="004D13EB"/>
    <w:rsid w:val="004E3B2A"/>
    <w:rsid w:val="004E5413"/>
    <w:rsid w:val="004E7B29"/>
    <w:rsid w:val="004F17D9"/>
    <w:rsid w:val="004F411D"/>
    <w:rsid w:val="004F6FD5"/>
    <w:rsid w:val="004F70FA"/>
    <w:rsid w:val="00511BD2"/>
    <w:rsid w:val="00513367"/>
    <w:rsid w:val="00514FCF"/>
    <w:rsid w:val="00523BA5"/>
    <w:rsid w:val="00523CDD"/>
    <w:rsid w:val="00530611"/>
    <w:rsid w:val="00535D18"/>
    <w:rsid w:val="00536DDC"/>
    <w:rsid w:val="0053741F"/>
    <w:rsid w:val="00540841"/>
    <w:rsid w:val="0054632C"/>
    <w:rsid w:val="005511D9"/>
    <w:rsid w:val="005566E5"/>
    <w:rsid w:val="0055720E"/>
    <w:rsid w:val="0056176A"/>
    <w:rsid w:val="00570CA1"/>
    <w:rsid w:val="00571BFA"/>
    <w:rsid w:val="00577077"/>
    <w:rsid w:val="00580975"/>
    <w:rsid w:val="00592385"/>
    <w:rsid w:val="0059270C"/>
    <w:rsid w:val="005A1371"/>
    <w:rsid w:val="005A25A5"/>
    <w:rsid w:val="005A5948"/>
    <w:rsid w:val="005B1DEE"/>
    <w:rsid w:val="005B384C"/>
    <w:rsid w:val="005C45B1"/>
    <w:rsid w:val="005C6D05"/>
    <w:rsid w:val="005C76EF"/>
    <w:rsid w:val="005D42AF"/>
    <w:rsid w:val="005D4B57"/>
    <w:rsid w:val="005E77AB"/>
    <w:rsid w:val="005F032F"/>
    <w:rsid w:val="005F0744"/>
    <w:rsid w:val="005F1463"/>
    <w:rsid w:val="005F31FA"/>
    <w:rsid w:val="005F58CC"/>
    <w:rsid w:val="006001E5"/>
    <w:rsid w:val="006006D3"/>
    <w:rsid w:val="00600E51"/>
    <w:rsid w:val="006024EB"/>
    <w:rsid w:val="00602663"/>
    <w:rsid w:val="00610350"/>
    <w:rsid w:val="00623F02"/>
    <w:rsid w:val="006259EB"/>
    <w:rsid w:val="00632265"/>
    <w:rsid w:val="00632CDF"/>
    <w:rsid w:val="00636321"/>
    <w:rsid w:val="00640D5A"/>
    <w:rsid w:val="00641302"/>
    <w:rsid w:val="00642169"/>
    <w:rsid w:val="00651074"/>
    <w:rsid w:val="0065442A"/>
    <w:rsid w:val="00654BEE"/>
    <w:rsid w:val="006610DF"/>
    <w:rsid w:val="00661440"/>
    <w:rsid w:val="00662418"/>
    <w:rsid w:val="00666548"/>
    <w:rsid w:val="00666722"/>
    <w:rsid w:val="006705EB"/>
    <w:rsid w:val="006730CA"/>
    <w:rsid w:val="006814A0"/>
    <w:rsid w:val="00685419"/>
    <w:rsid w:val="00686023"/>
    <w:rsid w:val="00686F87"/>
    <w:rsid w:val="0069272F"/>
    <w:rsid w:val="00695268"/>
    <w:rsid w:val="006A01F9"/>
    <w:rsid w:val="006A2BC2"/>
    <w:rsid w:val="006A7417"/>
    <w:rsid w:val="006B03AB"/>
    <w:rsid w:val="006B04B6"/>
    <w:rsid w:val="006B1804"/>
    <w:rsid w:val="006B1A0D"/>
    <w:rsid w:val="006B1E55"/>
    <w:rsid w:val="006B4976"/>
    <w:rsid w:val="006B4FB2"/>
    <w:rsid w:val="006B7988"/>
    <w:rsid w:val="006C4BA6"/>
    <w:rsid w:val="006C53A0"/>
    <w:rsid w:val="006C5ECB"/>
    <w:rsid w:val="006C6729"/>
    <w:rsid w:val="006C6733"/>
    <w:rsid w:val="006D226F"/>
    <w:rsid w:val="006D4D0B"/>
    <w:rsid w:val="006D6A3C"/>
    <w:rsid w:val="006E06D0"/>
    <w:rsid w:val="006E1068"/>
    <w:rsid w:val="006E1C8A"/>
    <w:rsid w:val="006E7CAB"/>
    <w:rsid w:val="006F258F"/>
    <w:rsid w:val="006F2C39"/>
    <w:rsid w:val="006F3C58"/>
    <w:rsid w:val="006F48F6"/>
    <w:rsid w:val="006F795E"/>
    <w:rsid w:val="006F7A01"/>
    <w:rsid w:val="00701D5E"/>
    <w:rsid w:val="00702538"/>
    <w:rsid w:val="007037E6"/>
    <w:rsid w:val="00704288"/>
    <w:rsid w:val="00705029"/>
    <w:rsid w:val="007110E7"/>
    <w:rsid w:val="00712DE5"/>
    <w:rsid w:val="00714347"/>
    <w:rsid w:val="007213A8"/>
    <w:rsid w:val="007262CD"/>
    <w:rsid w:val="007275B7"/>
    <w:rsid w:val="00731BBB"/>
    <w:rsid w:val="00740E38"/>
    <w:rsid w:val="007477CF"/>
    <w:rsid w:val="00755D90"/>
    <w:rsid w:val="00757278"/>
    <w:rsid w:val="0076073E"/>
    <w:rsid w:val="00766226"/>
    <w:rsid w:val="007668A5"/>
    <w:rsid w:val="00773374"/>
    <w:rsid w:val="00773DA3"/>
    <w:rsid w:val="0079306B"/>
    <w:rsid w:val="007963B2"/>
    <w:rsid w:val="007A0ED9"/>
    <w:rsid w:val="007A3968"/>
    <w:rsid w:val="007A3CE8"/>
    <w:rsid w:val="007B0AE3"/>
    <w:rsid w:val="007B0CF3"/>
    <w:rsid w:val="007C0363"/>
    <w:rsid w:val="007C2883"/>
    <w:rsid w:val="007C55ED"/>
    <w:rsid w:val="007D4A1F"/>
    <w:rsid w:val="007D5148"/>
    <w:rsid w:val="007D6E7F"/>
    <w:rsid w:val="007E1782"/>
    <w:rsid w:val="007E1A43"/>
    <w:rsid w:val="007E2DA7"/>
    <w:rsid w:val="007E574A"/>
    <w:rsid w:val="007E64AA"/>
    <w:rsid w:val="007E656E"/>
    <w:rsid w:val="007F140C"/>
    <w:rsid w:val="007F1E8C"/>
    <w:rsid w:val="007F311A"/>
    <w:rsid w:val="007F3B45"/>
    <w:rsid w:val="007F58D3"/>
    <w:rsid w:val="008002AD"/>
    <w:rsid w:val="00800AF4"/>
    <w:rsid w:val="0080256C"/>
    <w:rsid w:val="00803850"/>
    <w:rsid w:val="00803F34"/>
    <w:rsid w:val="00806C0C"/>
    <w:rsid w:val="008124F3"/>
    <w:rsid w:val="00813911"/>
    <w:rsid w:val="0082468A"/>
    <w:rsid w:val="00825F59"/>
    <w:rsid w:val="0082675E"/>
    <w:rsid w:val="00830154"/>
    <w:rsid w:val="00832B59"/>
    <w:rsid w:val="00832C1B"/>
    <w:rsid w:val="00835F84"/>
    <w:rsid w:val="008405F0"/>
    <w:rsid w:val="0084640F"/>
    <w:rsid w:val="00847040"/>
    <w:rsid w:val="0084799B"/>
    <w:rsid w:val="00853BCB"/>
    <w:rsid w:val="00855571"/>
    <w:rsid w:val="008555AC"/>
    <w:rsid w:val="00855873"/>
    <w:rsid w:val="00857EF5"/>
    <w:rsid w:val="008636F6"/>
    <w:rsid w:val="00864B42"/>
    <w:rsid w:val="008656A8"/>
    <w:rsid w:val="00866F0C"/>
    <w:rsid w:val="0087059A"/>
    <w:rsid w:val="0087083A"/>
    <w:rsid w:val="00872C06"/>
    <w:rsid w:val="008730EC"/>
    <w:rsid w:val="00874CB2"/>
    <w:rsid w:val="0087500D"/>
    <w:rsid w:val="00880D50"/>
    <w:rsid w:val="008902B3"/>
    <w:rsid w:val="00890A9B"/>
    <w:rsid w:val="00893475"/>
    <w:rsid w:val="008A2ABB"/>
    <w:rsid w:val="008B2E9F"/>
    <w:rsid w:val="008B31DE"/>
    <w:rsid w:val="008B5193"/>
    <w:rsid w:val="008C7503"/>
    <w:rsid w:val="008E070A"/>
    <w:rsid w:val="008E23EB"/>
    <w:rsid w:val="008E4406"/>
    <w:rsid w:val="008E4464"/>
    <w:rsid w:val="008F1BED"/>
    <w:rsid w:val="008F4818"/>
    <w:rsid w:val="008F4A1B"/>
    <w:rsid w:val="008F538C"/>
    <w:rsid w:val="008F7BF8"/>
    <w:rsid w:val="00902E89"/>
    <w:rsid w:val="009046DA"/>
    <w:rsid w:val="00910503"/>
    <w:rsid w:val="00914590"/>
    <w:rsid w:val="00914B5E"/>
    <w:rsid w:val="0092108F"/>
    <w:rsid w:val="00921133"/>
    <w:rsid w:val="009329BC"/>
    <w:rsid w:val="00933935"/>
    <w:rsid w:val="00934326"/>
    <w:rsid w:val="0094014E"/>
    <w:rsid w:val="00944223"/>
    <w:rsid w:val="009461ED"/>
    <w:rsid w:val="0094698B"/>
    <w:rsid w:val="00946FFC"/>
    <w:rsid w:val="0094788C"/>
    <w:rsid w:val="00950F1F"/>
    <w:rsid w:val="009530AF"/>
    <w:rsid w:val="00953A1A"/>
    <w:rsid w:val="00956FC5"/>
    <w:rsid w:val="00957489"/>
    <w:rsid w:val="00961AAA"/>
    <w:rsid w:val="00962AA7"/>
    <w:rsid w:val="0096757D"/>
    <w:rsid w:val="00975A5B"/>
    <w:rsid w:val="00987E6F"/>
    <w:rsid w:val="00994872"/>
    <w:rsid w:val="009A1972"/>
    <w:rsid w:val="009A1C61"/>
    <w:rsid w:val="009B1065"/>
    <w:rsid w:val="009B23C4"/>
    <w:rsid w:val="009B5937"/>
    <w:rsid w:val="009B6D17"/>
    <w:rsid w:val="009C105F"/>
    <w:rsid w:val="009C75A3"/>
    <w:rsid w:val="009D0A50"/>
    <w:rsid w:val="009D0E55"/>
    <w:rsid w:val="009D3587"/>
    <w:rsid w:val="009D386D"/>
    <w:rsid w:val="009D3E4A"/>
    <w:rsid w:val="009D478B"/>
    <w:rsid w:val="009D59FD"/>
    <w:rsid w:val="009D6695"/>
    <w:rsid w:val="009E7145"/>
    <w:rsid w:val="009F121A"/>
    <w:rsid w:val="009F23DF"/>
    <w:rsid w:val="009F244D"/>
    <w:rsid w:val="009F3A00"/>
    <w:rsid w:val="009F48D3"/>
    <w:rsid w:val="00A0066B"/>
    <w:rsid w:val="00A03D08"/>
    <w:rsid w:val="00A0501C"/>
    <w:rsid w:val="00A05CCE"/>
    <w:rsid w:val="00A13245"/>
    <w:rsid w:val="00A13616"/>
    <w:rsid w:val="00A1398E"/>
    <w:rsid w:val="00A14AD6"/>
    <w:rsid w:val="00A167E8"/>
    <w:rsid w:val="00A235DB"/>
    <w:rsid w:val="00A24030"/>
    <w:rsid w:val="00A24772"/>
    <w:rsid w:val="00A3012F"/>
    <w:rsid w:val="00A3081F"/>
    <w:rsid w:val="00A31140"/>
    <w:rsid w:val="00A32209"/>
    <w:rsid w:val="00A350F9"/>
    <w:rsid w:val="00A35482"/>
    <w:rsid w:val="00A36FF0"/>
    <w:rsid w:val="00A43ECA"/>
    <w:rsid w:val="00A460E2"/>
    <w:rsid w:val="00A47F12"/>
    <w:rsid w:val="00A5582F"/>
    <w:rsid w:val="00A6279F"/>
    <w:rsid w:val="00A70EA8"/>
    <w:rsid w:val="00A75DAA"/>
    <w:rsid w:val="00A7731B"/>
    <w:rsid w:val="00A91D1E"/>
    <w:rsid w:val="00A9567D"/>
    <w:rsid w:val="00AB013E"/>
    <w:rsid w:val="00AB2B2D"/>
    <w:rsid w:val="00AB2E80"/>
    <w:rsid w:val="00AB380B"/>
    <w:rsid w:val="00AB5603"/>
    <w:rsid w:val="00AB6447"/>
    <w:rsid w:val="00AB723B"/>
    <w:rsid w:val="00AB7987"/>
    <w:rsid w:val="00AB7A44"/>
    <w:rsid w:val="00AC2705"/>
    <w:rsid w:val="00AC4275"/>
    <w:rsid w:val="00AC7583"/>
    <w:rsid w:val="00AC794B"/>
    <w:rsid w:val="00AD744E"/>
    <w:rsid w:val="00AE0414"/>
    <w:rsid w:val="00AE1ECA"/>
    <w:rsid w:val="00AE3D34"/>
    <w:rsid w:val="00AF4573"/>
    <w:rsid w:val="00AF6B45"/>
    <w:rsid w:val="00B054D8"/>
    <w:rsid w:val="00B161AA"/>
    <w:rsid w:val="00B16462"/>
    <w:rsid w:val="00B17C5C"/>
    <w:rsid w:val="00B2125C"/>
    <w:rsid w:val="00B23390"/>
    <w:rsid w:val="00B2375E"/>
    <w:rsid w:val="00B24AC9"/>
    <w:rsid w:val="00B4067C"/>
    <w:rsid w:val="00B55C80"/>
    <w:rsid w:val="00B611D6"/>
    <w:rsid w:val="00B63CFC"/>
    <w:rsid w:val="00B71178"/>
    <w:rsid w:val="00B80EC6"/>
    <w:rsid w:val="00B84FBD"/>
    <w:rsid w:val="00B8551F"/>
    <w:rsid w:val="00B85F7E"/>
    <w:rsid w:val="00B96DA3"/>
    <w:rsid w:val="00BA5CF6"/>
    <w:rsid w:val="00BA7EBF"/>
    <w:rsid w:val="00BA7F35"/>
    <w:rsid w:val="00BB035A"/>
    <w:rsid w:val="00BB473D"/>
    <w:rsid w:val="00BC0302"/>
    <w:rsid w:val="00BC038A"/>
    <w:rsid w:val="00BC1DFF"/>
    <w:rsid w:val="00BD0A22"/>
    <w:rsid w:val="00BE02F1"/>
    <w:rsid w:val="00BE4440"/>
    <w:rsid w:val="00BE4991"/>
    <w:rsid w:val="00BE617D"/>
    <w:rsid w:val="00BF70D6"/>
    <w:rsid w:val="00C02031"/>
    <w:rsid w:val="00C0291D"/>
    <w:rsid w:val="00C03C14"/>
    <w:rsid w:val="00C06A97"/>
    <w:rsid w:val="00C06B6D"/>
    <w:rsid w:val="00C10A29"/>
    <w:rsid w:val="00C15A82"/>
    <w:rsid w:val="00C20C87"/>
    <w:rsid w:val="00C22F0D"/>
    <w:rsid w:val="00C25F6F"/>
    <w:rsid w:val="00C27D41"/>
    <w:rsid w:val="00C304B4"/>
    <w:rsid w:val="00C31A76"/>
    <w:rsid w:val="00C31D2B"/>
    <w:rsid w:val="00C31D3B"/>
    <w:rsid w:val="00C324EA"/>
    <w:rsid w:val="00C353BF"/>
    <w:rsid w:val="00C36519"/>
    <w:rsid w:val="00C37DE2"/>
    <w:rsid w:val="00C40F90"/>
    <w:rsid w:val="00C50DF7"/>
    <w:rsid w:val="00C55A51"/>
    <w:rsid w:val="00C60736"/>
    <w:rsid w:val="00C621D7"/>
    <w:rsid w:val="00C67BC9"/>
    <w:rsid w:val="00C758CC"/>
    <w:rsid w:val="00C81B5E"/>
    <w:rsid w:val="00C81DB5"/>
    <w:rsid w:val="00C843F9"/>
    <w:rsid w:val="00C84D3E"/>
    <w:rsid w:val="00C9443E"/>
    <w:rsid w:val="00CA0D3E"/>
    <w:rsid w:val="00CA2A86"/>
    <w:rsid w:val="00CA5EA3"/>
    <w:rsid w:val="00CA6DC3"/>
    <w:rsid w:val="00CA7D76"/>
    <w:rsid w:val="00CB2587"/>
    <w:rsid w:val="00CB3A1D"/>
    <w:rsid w:val="00CB6A87"/>
    <w:rsid w:val="00CC60DD"/>
    <w:rsid w:val="00CC679D"/>
    <w:rsid w:val="00CD60CE"/>
    <w:rsid w:val="00CD70FC"/>
    <w:rsid w:val="00CE5A3B"/>
    <w:rsid w:val="00CE764C"/>
    <w:rsid w:val="00CF1A76"/>
    <w:rsid w:val="00D03440"/>
    <w:rsid w:val="00D0416B"/>
    <w:rsid w:val="00D11276"/>
    <w:rsid w:val="00D1218F"/>
    <w:rsid w:val="00D1421D"/>
    <w:rsid w:val="00D164B3"/>
    <w:rsid w:val="00D168E5"/>
    <w:rsid w:val="00D16E9F"/>
    <w:rsid w:val="00D2293A"/>
    <w:rsid w:val="00D258AD"/>
    <w:rsid w:val="00D35546"/>
    <w:rsid w:val="00D357E6"/>
    <w:rsid w:val="00D40E5A"/>
    <w:rsid w:val="00D427EE"/>
    <w:rsid w:val="00D4567F"/>
    <w:rsid w:val="00D46210"/>
    <w:rsid w:val="00D51621"/>
    <w:rsid w:val="00D51EE5"/>
    <w:rsid w:val="00D61E90"/>
    <w:rsid w:val="00D66972"/>
    <w:rsid w:val="00D7392B"/>
    <w:rsid w:val="00D75285"/>
    <w:rsid w:val="00D76EBC"/>
    <w:rsid w:val="00D82CA6"/>
    <w:rsid w:val="00D82F1C"/>
    <w:rsid w:val="00D909B2"/>
    <w:rsid w:val="00D97564"/>
    <w:rsid w:val="00D97AC8"/>
    <w:rsid w:val="00DA02BE"/>
    <w:rsid w:val="00DA0328"/>
    <w:rsid w:val="00DA508E"/>
    <w:rsid w:val="00DA7586"/>
    <w:rsid w:val="00DA7702"/>
    <w:rsid w:val="00DB0F77"/>
    <w:rsid w:val="00DB4E6B"/>
    <w:rsid w:val="00DB7931"/>
    <w:rsid w:val="00DC24A8"/>
    <w:rsid w:val="00DD73AB"/>
    <w:rsid w:val="00DE3BCA"/>
    <w:rsid w:val="00DE7C39"/>
    <w:rsid w:val="00DF480E"/>
    <w:rsid w:val="00E034EB"/>
    <w:rsid w:val="00E041A3"/>
    <w:rsid w:val="00E06E79"/>
    <w:rsid w:val="00E12B1F"/>
    <w:rsid w:val="00E14CC6"/>
    <w:rsid w:val="00E17692"/>
    <w:rsid w:val="00E2457C"/>
    <w:rsid w:val="00E30B74"/>
    <w:rsid w:val="00E37721"/>
    <w:rsid w:val="00E409D6"/>
    <w:rsid w:val="00E40E37"/>
    <w:rsid w:val="00E43316"/>
    <w:rsid w:val="00E455F2"/>
    <w:rsid w:val="00E508CA"/>
    <w:rsid w:val="00E516E4"/>
    <w:rsid w:val="00E52ACD"/>
    <w:rsid w:val="00E5361F"/>
    <w:rsid w:val="00E55452"/>
    <w:rsid w:val="00E5629C"/>
    <w:rsid w:val="00E56539"/>
    <w:rsid w:val="00E61EBA"/>
    <w:rsid w:val="00E625ED"/>
    <w:rsid w:val="00E65E2E"/>
    <w:rsid w:val="00E66B21"/>
    <w:rsid w:val="00E67028"/>
    <w:rsid w:val="00E70CF8"/>
    <w:rsid w:val="00E731A4"/>
    <w:rsid w:val="00E73B89"/>
    <w:rsid w:val="00E7420F"/>
    <w:rsid w:val="00E8082D"/>
    <w:rsid w:val="00E82877"/>
    <w:rsid w:val="00E8389B"/>
    <w:rsid w:val="00E8472E"/>
    <w:rsid w:val="00E86338"/>
    <w:rsid w:val="00E93B10"/>
    <w:rsid w:val="00E9453B"/>
    <w:rsid w:val="00E94FD4"/>
    <w:rsid w:val="00E95838"/>
    <w:rsid w:val="00E962FD"/>
    <w:rsid w:val="00EA04D1"/>
    <w:rsid w:val="00EA2910"/>
    <w:rsid w:val="00EA3A7F"/>
    <w:rsid w:val="00EA7858"/>
    <w:rsid w:val="00EB19B7"/>
    <w:rsid w:val="00EB4197"/>
    <w:rsid w:val="00EC2BE0"/>
    <w:rsid w:val="00EC3D6C"/>
    <w:rsid w:val="00EC68B7"/>
    <w:rsid w:val="00ED5A52"/>
    <w:rsid w:val="00EE1110"/>
    <w:rsid w:val="00EE2798"/>
    <w:rsid w:val="00EE3391"/>
    <w:rsid w:val="00EE39EF"/>
    <w:rsid w:val="00EE4365"/>
    <w:rsid w:val="00EE555D"/>
    <w:rsid w:val="00EE60BF"/>
    <w:rsid w:val="00EF02DE"/>
    <w:rsid w:val="00F01C78"/>
    <w:rsid w:val="00F0421D"/>
    <w:rsid w:val="00F0461E"/>
    <w:rsid w:val="00F05B78"/>
    <w:rsid w:val="00F07986"/>
    <w:rsid w:val="00F15CC3"/>
    <w:rsid w:val="00F1631C"/>
    <w:rsid w:val="00F208F7"/>
    <w:rsid w:val="00F243BD"/>
    <w:rsid w:val="00F27D47"/>
    <w:rsid w:val="00F32FF7"/>
    <w:rsid w:val="00F34D1B"/>
    <w:rsid w:val="00F416FA"/>
    <w:rsid w:val="00F437E1"/>
    <w:rsid w:val="00F44837"/>
    <w:rsid w:val="00F466A9"/>
    <w:rsid w:val="00F544A0"/>
    <w:rsid w:val="00F5488F"/>
    <w:rsid w:val="00F56D26"/>
    <w:rsid w:val="00F57C56"/>
    <w:rsid w:val="00F61C84"/>
    <w:rsid w:val="00F64B24"/>
    <w:rsid w:val="00F66F33"/>
    <w:rsid w:val="00F70D4C"/>
    <w:rsid w:val="00F71388"/>
    <w:rsid w:val="00F72115"/>
    <w:rsid w:val="00F7348A"/>
    <w:rsid w:val="00F75006"/>
    <w:rsid w:val="00F77352"/>
    <w:rsid w:val="00F9028D"/>
    <w:rsid w:val="00F90425"/>
    <w:rsid w:val="00F92204"/>
    <w:rsid w:val="00F93251"/>
    <w:rsid w:val="00F9497D"/>
    <w:rsid w:val="00F97014"/>
    <w:rsid w:val="00FA028A"/>
    <w:rsid w:val="00FA0876"/>
    <w:rsid w:val="00FB3468"/>
    <w:rsid w:val="00FB50BD"/>
    <w:rsid w:val="00FB56AC"/>
    <w:rsid w:val="00FB7787"/>
    <w:rsid w:val="00FC302A"/>
    <w:rsid w:val="00FC5771"/>
    <w:rsid w:val="00FC678A"/>
    <w:rsid w:val="00FC7CBF"/>
    <w:rsid w:val="00FD2866"/>
    <w:rsid w:val="00FD39CF"/>
    <w:rsid w:val="00FD4E64"/>
    <w:rsid w:val="00FD7F22"/>
    <w:rsid w:val="00FE1358"/>
    <w:rsid w:val="00FE7DB9"/>
    <w:rsid w:val="00FF34AF"/>
    <w:rsid w:val="00FF5196"/>
    <w:rsid w:val="00FF6C7B"/>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27EA"/>
  <w15:docId w15:val="{D7CFC1F4-0BFF-46CE-8475-8FC8DBDC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 w:type="paragraph" w:customStyle="1" w:styleId="ConsPlusTitle">
    <w:name w:val="ConsPlusTitle"/>
    <w:rsid w:val="00114C06"/>
    <w:pPr>
      <w:widowControl w:val="0"/>
      <w:autoSpaceDE w:val="0"/>
      <w:autoSpaceDN w:val="0"/>
      <w:adjustRightInd w:val="0"/>
    </w:pPr>
    <w:rPr>
      <w:b/>
      <w:bCs/>
      <w:sz w:val="28"/>
      <w:szCs w:val="28"/>
    </w:rPr>
  </w:style>
  <w:style w:type="paragraph" w:styleId="af6">
    <w:name w:val="annotation text"/>
    <w:basedOn w:val="a"/>
    <w:link w:val="af7"/>
    <w:uiPriority w:val="99"/>
    <w:unhideWhenUsed/>
    <w:rsid w:val="00835F84"/>
    <w:rPr>
      <w:sz w:val="20"/>
      <w:szCs w:val="20"/>
    </w:rPr>
  </w:style>
  <w:style w:type="character" w:customStyle="1" w:styleId="af7">
    <w:name w:val="Текст примечания Знак"/>
    <w:basedOn w:val="a0"/>
    <w:link w:val="af6"/>
    <w:uiPriority w:val="99"/>
    <w:rsid w:val="00835F84"/>
  </w:style>
  <w:style w:type="table" w:customStyle="1" w:styleId="13">
    <w:name w:val="Сетка таблицы1"/>
    <w:basedOn w:val="a1"/>
    <w:next w:val="ac"/>
    <w:uiPriority w:val="59"/>
    <w:rsid w:val="00F01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39"/>
    <w:rsid w:val="00EE43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228">
      <w:bodyDiv w:val="1"/>
      <w:marLeft w:val="0"/>
      <w:marRight w:val="0"/>
      <w:marTop w:val="0"/>
      <w:marBottom w:val="0"/>
      <w:divBdr>
        <w:top w:val="none" w:sz="0" w:space="0" w:color="auto"/>
        <w:left w:val="none" w:sz="0" w:space="0" w:color="auto"/>
        <w:bottom w:val="none" w:sz="0" w:space="0" w:color="auto"/>
        <w:right w:val="none" w:sz="0" w:space="0" w:color="auto"/>
      </w:divBdr>
    </w:div>
    <w:div w:id="864831404">
      <w:bodyDiv w:val="1"/>
      <w:marLeft w:val="0"/>
      <w:marRight w:val="0"/>
      <w:marTop w:val="0"/>
      <w:marBottom w:val="0"/>
      <w:divBdr>
        <w:top w:val="none" w:sz="0" w:space="0" w:color="auto"/>
        <w:left w:val="none" w:sz="0" w:space="0" w:color="auto"/>
        <w:bottom w:val="none" w:sz="0" w:space="0" w:color="auto"/>
        <w:right w:val="none" w:sz="0" w:space="0" w:color="auto"/>
      </w:divBdr>
    </w:div>
    <w:div w:id="1020014319">
      <w:bodyDiv w:val="1"/>
      <w:marLeft w:val="0"/>
      <w:marRight w:val="0"/>
      <w:marTop w:val="0"/>
      <w:marBottom w:val="0"/>
      <w:divBdr>
        <w:top w:val="none" w:sz="0" w:space="0" w:color="auto"/>
        <w:left w:val="none" w:sz="0" w:space="0" w:color="auto"/>
        <w:bottom w:val="none" w:sz="0" w:space="0" w:color="auto"/>
        <w:right w:val="none" w:sz="0" w:space="0" w:color="auto"/>
      </w:divBdr>
    </w:div>
    <w:div w:id="1345471550">
      <w:bodyDiv w:val="1"/>
      <w:marLeft w:val="0"/>
      <w:marRight w:val="0"/>
      <w:marTop w:val="0"/>
      <w:marBottom w:val="0"/>
      <w:divBdr>
        <w:top w:val="none" w:sz="0" w:space="0" w:color="auto"/>
        <w:left w:val="none" w:sz="0" w:space="0" w:color="auto"/>
        <w:bottom w:val="none" w:sz="0" w:space="0" w:color="auto"/>
        <w:right w:val="none" w:sz="0" w:space="0" w:color="auto"/>
      </w:divBdr>
    </w:div>
    <w:div w:id="1839953527">
      <w:bodyDiv w:val="1"/>
      <w:marLeft w:val="0"/>
      <w:marRight w:val="0"/>
      <w:marTop w:val="0"/>
      <w:marBottom w:val="0"/>
      <w:divBdr>
        <w:top w:val="none" w:sz="0" w:space="0" w:color="auto"/>
        <w:left w:val="none" w:sz="0" w:space="0" w:color="auto"/>
        <w:bottom w:val="none" w:sz="0" w:space="0" w:color="auto"/>
        <w:right w:val="none" w:sz="0" w:space="0" w:color="auto"/>
      </w:divBdr>
    </w:div>
    <w:div w:id="20969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T.MB\Desktop\&#1040;&#1083;&#1077;&#1082;&#1089;&#1077;&#1081;\&#1043;&#1086;&#1076;&#1086;&#1074;&#1086;&#1081;%20&#1086;&#1090;&#1095;&#1105;&#1090;\&#1050;&#1086;&#1087;&#1080;&#1103;%20&#1076;&#1080;&#1072;&#1075;&#1088;&#1072;&#1084;&#1084;&#1099;_&#1056;&#1043;&#1054;+&#1052;&#1060;&#1054;%202017-20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T.MB\Desktop\&#1040;&#1083;&#1077;&#1082;&#1089;&#1077;&#1081;\&#1043;&#1086;&#1076;&#1086;&#1074;&#1086;&#1081;%20&#1086;&#1090;&#1095;&#1105;&#1090;\&#1050;&#1086;&#1087;&#1080;&#1103;%20&#1076;&#1080;&#1072;&#1075;&#1088;&#1072;&#1084;&#1084;&#1099;_&#1056;&#1043;&#1054;+&#1052;&#1060;&#1054;%202017-2019.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T.MB\Desktop\&#1040;&#1083;&#1077;&#1082;&#1089;&#1077;&#1081;\&#1043;&#1086;&#1076;&#1086;&#1074;&#1086;&#1081;%20&#1086;&#1090;&#1095;&#1105;&#1090;\&#1050;&#1086;&#1087;&#1080;&#1103;%20&#1076;&#1080;&#1072;&#1075;&#1088;&#1072;&#1084;&#1084;&#1099;_&#1056;&#1043;&#1054;+&#1052;&#1060;&#1054;%202017-2019.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T.MB\Desktop\&#1040;&#1083;&#1077;&#1082;&#1089;&#1077;&#1081;\&#1043;&#1086;&#1076;&#1086;&#1074;&#1086;&#1081;%20&#1086;&#1090;&#1095;&#1105;&#1090;\&#1050;&#1086;&#1087;&#1080;&#1103;%20&#1076;&#1080;&#1072;&#1075;&#1088;&#1072;&#1084;&#1084;&#1099;_&#1056;&#1043;&#1054;+&#1052;&#1060;&#1054;%202017-2019.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Кол-во предоставленных поручительств</a:t>
            </a:r>
          </a:p>
        </c:rich>
      </c:tx>
      <c:overlay val="0"/>
    </c:title>
    <c:autoTitleDeleted val="0"/>
    <c:plotArea>
      <c:layout/>
      <c:barChart>
        <c:barDir val="col"/>
        <c:grouping val="clustered"/>
        <c:varyColors val="0"/>
        <c:ser>
          <c:idx val="0"/>
          <c:order val="0"/>
          <c:tx>
            <c:strRef>
              <c:f>'РГО_2017-2019'!$D$27</c:f>
              <c:strCache>
                <c:ptCount val="1"/>
                <c:pt idx="0">
                  <c:v>Кол-во поручительств</c:v>
                </c:pt>
              </c:strCache>
            </c:strRef>
          </c:tx>
          <c:invertIfNegative val="0"/>
          <c:dLbls>
            <c:dLbl>
              <c:idx val="0"/>
              <c:layout>
                <c:manualLayout>
                  <c:x val="5.5555555555555558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A8-4E99-AC3E-A82A580CC3CC}"/>
                </c:ext>
              </c:extLst>
            </c:dLbl>
            <c:dLbl>
              <c:idx val="1"/>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A8-4E99-AC3E-A82A580CC3CC}"/>
                </c:ext>
              </c:extLst>
            </c:dLbl>
            <c:dLbl>
              <c:idx val="2"/>
              <c:layout>
                <c:manualLayout>
                  <c:x val="-1.0185067526415994E-16"/>
                  <c:y val="0.12037037037037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A8-4E99-AC3E-A82A580CC3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'РГО_2017-2019'!$C$28:$C$30</c:f>
              <c:strCache>
                <c:ptCount val="3"/>
                <c:pt idx="0">
                  <c:v>2020</c:v>
                </c:pt>
                <c:pt idx="1">
                  <c:v>2021</c:v>
                </c:pt>
                <c:pt idx="2">
                  <c:v>11 месяцев 2022</c:v>
                </c:pt>
              </c:strCache>
            </c:strRef>
          </c:cat>
          <c:val>
            <c:numRef>
              <c:f>'РГО_2017-2019'!$D$28:$D$30</c:f>
              <c:numCache>
                <c:formatCode>General</c:formatCode>
                <c:ptCount val="3"/>
                <c:pt idx="0">
                  <c:v>56</c:v>
                </c:pt>
                <c:pt idx="1">
                  <c:v>56</c:v>
                </c:pt>
                <c:pt idx="2">
                  <c:v>156</c:v>
                </c:pt>
              </c:numCache>
            </c:numRef>
          </c:val>
          <c:extLst>
            <c:ext xmlns:c16="http://schemas.microsoft.com/office/drawing/2014/chart" uri="{C3380CC4-5D6E-409C-BE32-E72D297353CC}">
              <c16:uniqueId val="{00000003-25A8-4E99-AC3E-A82A580CC3CC}"/>
            </c:ext>
          </c:extLst>
        </c:ser>
        <c:dLbls>
          <c:showLegendKey val="0"/>
          <c:showVal val="0"/>
          <c:showCatName val="0"/>
          <c:showSerName val="0"/>
          <c:showPercent val="0"/>
          <c:showBubbleSize val="0"/>
        </c:dLbls>
        <c:gapWidth val="75"/>
        <c:axId val="57132160"/>
        <c:axId val="57133696"/>
      </c:barChart>
      <c:catAx>
        <c:axId val="57132160"/>
        <c:scaling>
          <c:orientation val="minMax"/>
        </c:scaling>
        <c:delete val="0"/>
        <c:axPos val="b"/>
        <c:numFmt formatCode="General" sourceLinked="0"/>
        <c:majorTickMark val="none"/>
        <c:minorTickMark val="none"/>
        <c:tickLblPos val="nextTo"/>
        <c:crossAx val="57133696"/>
        <c:crosses val="autoZero"/>
        <c:auto val="1"/>
        <c:lblAlgn val="ctr"/>
        <c:lblOffset val="100"/>
        <c:noMultiLvlLbl val="0"/>
      </c:catAx>
      <c:valAx>
        <c:axId val="57133696"/>
        <c:scaling>
          <c:orientation val="minMax"/>
        </c:scaling>
        <c:delete val="0"/>
        <c:axPos val="l"/>
        <c:majorGridlines/>
        <c:numFmt formatCode="General" sourceLinked="1"/>
        <c:majorTickMark val="none"/>
        <c:minorTickMark val="none"/>
        <c:tickLblPos val="nextTo"/>
        <c:spPr>
          <a:ln w="9525">
            <a:noFill/>
          </a:ln>
        </c:spPr>
        <c:crossAx val="57132160"/>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'РГО_2017-2019'!$D$40</c:f>
              <c:strCache>
                <c:ptCount val="1"/>
                <c:pt idx="0">
                  <c:v>Объем предоставленных поручительств, млн. руб.</c:v>
                </c:pt>
              </c:strCache>
            </c:strRef>
          </c:tx>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31-44F9-AD08-1DEADB59ADE2}"/>
                </c:ext>
              </c:extLst>
            </c:dLbl>
            <c:dLbl>
              <c:idx val="1"/>
              <c:layout>
                <c:manualLayout>
                  <c:x val="2.7777777777777779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31-44F9-AD08-1DEADB59ADE2}"/>
                </c:ext>
              </c:extLst>
            </c:dLbl>
            <c:dLbl>
              <c:idx val="2"/>
              <c:layout>
                <c:manualLayout>
                  <c:x val="1.0185067526415994E-16"/>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31-44F9-AD08-1DEADB59AD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'РГО_2017-2019'!$C$41:$C$43</c:f>
              <c:strCache>
                <c:ptCount val="3"/>
                <c:pt idx="0">
                  <c:v>2020</c:v>
                </c:pt>
                <c:pt idx="1">
                  <c:v>2021</c:v>
                </c:pt>
                <c:pt idx="2">
                  <c:v>11 месяцев 2022</c:v>
                </c:pt>
              </c:strCache>
            </c:strRef>
          </c:cat>
          <c:val>
            <c:numRef>
              <c:f>'РГО_2017-2019'!$D$41:$D$43</c:f>
              <c:numCache>
                <c:formatCode>General</c:formatCode>
                <c:ptCount val="3"/>
                <c:pt idx="0">
                  <c:v>347.7</c:v>
                </c:pt>
                <c:pt idx="1">
                  <c:v>349.9</c:v>
                </c:pt>
                <c:pt idx="2">
                  <c:v>1113.9000000000001</c:v>
                </c:pt>
              </c:numCache>
            </c:numRef>
          </c:val>
          <c:extLst>
            <c:ext xmlns:c16="http://schemas.microsoft.com/office/drawing/2014/chart" uri="{C3380CC4-5D6E-409C-BE32-E72D297353CC}">
              <c16:uniqueId val="{00000003-0231-44F9-AD08-1DEADB59ADE2}"/>
            </c:ext>
          </c:extLst>
        </c:ser>
        <c:dLbls>
          <c:showLegendKey val="0"/>
          <c:showVal val="0"/>
          <c:showCatName val="0"/>
          <c:showSerName val="0"/>
          <c:showPercent val="0"/>
          <c:showBubbleSize val="0"/>
        </c:dLbls>
        <c:gapWidth val="150"/>
        <c:shape val="box"/>
        <c:axId val="58514432"/>
        <c:axId val="60478208"/>
        <c:axId val="57623424"/>
      </c:bar3DChart>
      <c:catAx>
        <c:axId val="58514432"/>
        <c:scaling>
          <c:orientation val="minMax"/>
        </c:scaling>
        <c:delete val="0"/>
        <c:axPos val="b"/>
        <c:numFmt formatCode="General" sourceLinked="0"/>
        <c:majorTickMark val="out"/>
        <c:minorTickMark val="none"/>
        <c:tickLblPos val="nextTo"/>
        <c:crossAx val="60478208"/>
        <c:crosses val="autoZero"/>
        <c:auto val="1"/>
        <c:lblAlgn val="ctr"/>
        <c:lblOffset val="100"/>
        <c:noMultiLvlLbl val="0"/>
      </c:catAx>
      <c:valAx>
        <c:axId val="60478208"/>
        <c:scaling>
          <c:orientation val="minMax"/>
        </c:scaling>
        <c:delete val="0"/>
        <c:axPos val="l"/>
        <c:majorGridlines/>
        <c:numFmt formatCode="General" sourceLinked="1"/>
        <c:majorTickMark val="out"/>
        <c:minorTickMark val="none"/>
        <c:tickLblPos val="nextTo"/>
        <c:crossAx val="58514432"/>
        <c:crosses val="autoZero"/>
        <c:crossBetween val="between"/>
      </c:valAx>
      <c:serAx>
        <c:axId val="57623424"/>
        <c:scaling>
          <c:orientation val="minMax"/>
        </c:scaling>
        <c:delete val="1"/>
        <c:axPos val="b"/>
        <c:majorTickMark val="out"/>
        <c:minorTickMark val="none"/>
        <c:tickLblPos val="nextTo"/>
        <c:crossAx val="60478208"/>
        <c:crosses val="autoZero"/>
      </c:ser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7C1-4875-BBCF-2630B0627EF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7C1-4875-BBCF-2630B0627EF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7C1-4875-BBCF-2630B0627EF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7142994-F54B-4188-8278-ED92E01C5590}" type="VALUE">
                      <a:rPr lang="en-US">
                        <a:solidFill>
                          <a:sysClr val="windowText" lastClr="000000"/>
                        </a:solidFill>
                      </a:rPr>
                      <a:pPr>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7C1-4875-BBCF-2630B0627EF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708C06B-097C-4B11-B4B7-3F30D3B1BC12}" type="VALUE">
                      <a:rPr lang="en-US">
                        <a:solidFill>
                          <a:sysClr val="windowText" lastClr="000000"/>
                        </a:solidFill>
                      </a:rPr>
                      <a:pPr>
                        <a:defRPr>
                          <a:solidFill>
                            <a:schemeClr val="accent1"/>
                          </a:solidFill>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7C1-4875-BBCF-2630B0627EF6}"/>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361B50E-97A9-4049-AE2F-2A4734FD2885}" type="VALUE">
                      <a:rPr lang="en-US">
                        <a:solidFill>
                          <a:sysClr val="windowText" lastClr="000000"/>
                        </a:solidFill>
                      </a:rPr>
                      <a:pPr>
                        <a:defRPr>
                          <a:solidFill>
                            <a:schemeClr val="accent1"/>
                          </a:solidFill>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7C1-4875-BBCF-2630B0627EF6}"/>
                </c:ext>
              </c:extLst>
            </c:dLbl>
            <c:spPr>
              <a:noFill/>
              <a:ln>
                <a:noFill/>
              </a:ln>
              <a:effectLst/>
            </c:spPr>
            <c:dLblPos val="bestFit"/>
            <c:showLegendKey val="0"/>
            <c:showVal val="1"/>
            <c:showCatName val="1"/>
            <c:showSerName val="1"/>
            <c:showPercent val="0"/>
            <c:showBubbleSize val="0"/>
            <c:showLeaderLines val="0"/>
            <c:extLst>
              <c:ext xmlns:c15="http://schemas.microsoft.com/office/drawing/2012/chart" uri="{CE6537A1-D6FC-4f65-9D91-7224C49458BB}"/>
            </c:extLst>
          </c:dLbls>
          <c:cat>
            <c:strRef>
              <c:f>'РГО_2017-2019'!$C$89:$C$91</c:f>
              <c:strCache>
                <c:ptCount val="3"/>
                <c:pt idx="0">
                  <c:v>2020 г.</c:v>
                </c:pt>
                <c:pt idx="1">
                  <c:v>2021 г.</c:v>
                </c:pt>
                <c:pt idx="2">
                  <c:v>11 месяцев 2022 г.</c:v>
                </c:pt>
              </c:strCache>
            </c:strRef>
          </c:cat>
          <c:val>
            <c:numRef>
              <c:f>'РГО_2017-2019'!$D$89:$D$91</c:f>
              <c:numCache>
                <c:formatCode>General</c:formatCode>
                <c:ptCount val="3"/>
                <c:pt idx="0">
                  <c:v>981.5</c:v>
                </c:pt>
                <c:pt idx="1">
                  <c:v>779.1</c:v>
                </c:pt>
                <c:pt idx="2">
                  <c:v>2349.1999999999998</c:v>
                </c:pt>
              </c:numCache>
            </c:numRef>
          </c:val>
          <c:extLst>
            <c:ext xmlns:c16="http://schemas.microsoft.com/office/drawing/2014/chart" uri="{C3380CC4-5D6E-409C-BE32-E72D297353CC}">
              <c16:uniqueId val="{00000006-E7C1-4875-BBCF-2630B0627EF6}"/>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'РГО_2017-2019'!$D$73</c:f>
              <c:strCache>
                <c:ptCount val="1"/>
                <c:pt idx="0">
                  <c:v>Индивидуальные предприниматели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'РГО_2017-2019'!$C$74:$C$76</c:f>
              <c:strCache>
                <c:ptCount val="3"/>
                <c:pt idx="0">
                  <c:v>2020</c:v>
                </c:pt>
                <c:pt idx="1">
                  <c:v>2021</c:v>
                </c:pt>
                <c:pt idx="2">
                  <c:v>11 месяцев 2022</c:v>
                </c:pt>
              </c:strCache>
            </c:strRef>
          </c:cat>
          <c:val>
            <c:numRef>
              <c:f>'РГО_2017-2019'!$D$74:$D$76</c:f>
              <c:numCache>
                <c:formatCode>General</c:formatCode>
                <c:ptCount val="3"/>
                <c:pt idx="0">
                  <c:v>21</c:v>
                </c:pt>
                <c:pt idx="1">
                  <c:v>24</c:v>
                </c:pt>
                <c:pt idx="2">
                  <c:v>65</c:v>
                </c:pt>
              </c:numCache>
            </c:numRef>
          </c:val>
          <c:extLst>
            <c:ext xmlns:c16="http://schemas.microsoft.com/office/drawing/2014/chart" uri="{C3380CC4-5D6E-409C-BE32-E72D297353CC}">
              <c16:uniqueId val="{00000000-8E32-48FE-9C82-03AD77290F43}"/>
            </c:ext>
          </c:extLst>
        </c:ser>
        <c:ser>
          <c:idx val="1"/>
          <c:order val="1"/>
          <c:tx>
            <c:strRef>
              <c:f>'РГО_2017-2019'!$E$73</c:f>
              <c:strCache>
                <c:ptCount val="1"/>
                <c:pt idx="0">
                  <c:v>Юридические лица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'РГО_2017-2019'!$C$74:$C$76</c:f>
              <c:strCache>
                <c:ptCount val="3"/>
                <c:pt idx="0">
                  <c:v>2020</c:v>
                </c:pt>
                <c:pt idx="1">
                  <c:v>2021</c:v>
                </c:pt>
                <c:pt idx="2">
                  <c:v>11 месяцев 2022</c:v>
                </c:pt>
              </c:strCache>
            </c:strRef>
          </c:cat>
          <c:val>
            <c:numRef>
              <c:f>'РГО_2017-2019'!$E$74:$E$76</c:f>
              <c:numCache>
                <c:formatCode>General</c:formatCode>
                <c:ptCount val="3"/>
                <c:pt idx="0">
                  <c:v>35</c:v>
                </c:pt>
                <c:pt idx="1">
                  <c:v>32</c:v>
                </c:pt>
                <c:pt idx="2">
                  <c:v>91</c:v>
                </c:pt>
              </c:numCache>
            </c:numRef>
          </c:val>
          <c:extLst>
            <c:ext xmlns:c16="http://schemas.microsoft.com/office/drawing/2014/chart" uri="{C3380CC4-5D6E-409C-BE32-E72D297353CC}">
              <c16:uniqueId val="{00000002-8E32-48FE-9C82-03AD77290F43}"/>
            </c:ext>
          </c:extLst>
        </c:ser>
        <c:dLbls>
          <c:dLblPos val="outEnd"/>
          <c:showLegendKey val="0"/>
          <c:showVal val="1"/>
          <c:showCatName val="0"/>
          <c:showSerName val="0"/>
          <c:showPercent val="0"/>
          <c:showBubbleSize val="0"/>
        </c:dLbls>
        <c:gapWidth val="219"/>
        <c:overlap val="-27"/>
        <c:axId val="532763007"/>
        <c:axId val="533378223"/>
      </c:barChart>
      <c:catAx>
        <c:axId val="532763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378223"/>
        <c:crosses val="autoZero"/>
        <c:auto val="1"/>
        <c:lblAlgn val="ctr"/>
        <c:lblOffset val="100"/>
        <c:noMultiLvlLbl val="0"/>
      </c:catAx>
      <c:valAx>
        <c:axId val="533378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Единиц</a:t>
                </a:r>
              </a:p>
            </c:rich>
          </c:tx>
          <c:layout>
            <c:manualLayout>
              <c:xMode val="edge"/>
              <c:yMode val="edge"/>
              <c:x val="3.0555555555555555E-2"/>
              <c:y val="0.508741980169145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2763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634011373578304"/>
          <c:y val="5.51724137931034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'РГО_2017-2019'!$D$96</c:f>
              <c:strCache>
                <c:ptCount val="1"/>
                <c:pt idx="0">
                  <c:v>Отношение общего объема действующих поручительств Фонда к гарантийному капиталу Фонда</c:v>
                </c:pt>
              </c:strCache>
            </c:strRef>
          </c:tx>
          <c:spPr>
            <a:ln w="28575" cap="rnd">
              <a:solidFill>
                <a:schemeClr val="accent1"/>
              </a:solidFill>
              <a:round/>
            </a:ln>
            <a:effectLst/>
          </c:spPr>
          <c:marker>
            <c:symbol val="none"/>
          </c:marker>
          <c:cat>
            <c:strRef>
              <c:f>'РГО_2017-2019'!$C$97:$C$103</c:f>
              <c:strCache>
                <c:ptCount val="7"/>
                <c:pt idx="0">
                  <c:v>на 01.01.2017 г.</c:v>
                </c:pt>
                <c:pt idx="1">
                  <c:v>на 01.01.2018 г.</c:v>
                </c:pt>
                <c:pt idx="2">
                  <c:v>на 01.01.2019 г.</c:v>
                </c:pt>
                <c:pt idx="3">
                  <c:v>на 01.01.2020 г.</c:v>
                </c:pt>
                <c:pt idx="4">
                  <c:v>на 01.01.2021 г.</c:v>
                </c:pt>
                <c:pt idx="5">
                  <c:v>на 01.01.2022 г.</c:v>
                </c:pt>
                <c:pt idx="6">
                  <c:v>на 01.12.2022 г.</c:v>
                </c:pt>
              </c:strCache>
            </c:strRef>
          </c:cat>
          <c:val>
            <c:numRef>
              <c:f>'РГО_2017-2019'!$D$97:$D$103</c:f>
              <c:numCache>
                <c:formatCode>General</c:formatCode>
                <c:ptCount val="7"/>
                <c:pt idx="0">
                  <c:v>0.8</c:v>
                </c:pt>
                <c:pt idx="1">
                  <c:v>0.9</c:v>
                </c:pt>
                <c:pt idx="2">
                  <c:v>1.1000000000000001</c:v>
                </c:pt>
                <c:pt idx="3">
                  <c:v>1.7</c:v>
                </c:pt>
                <c:pt idx="4">
                  <c:v>1.8</c:v>
                </c:pt>
                <c:pt idx="5">
                  <c:v>1.6</c:v>
                </c:pt>
                <c:pt idx="6">
                  <c:v>2.9</c:v>
                </c:pt>
              </c:numCache>
            </c:numRef>
          </c:val>
          <c:smooth val="0"/>
          <c:extLst>
            <c:ext xmlns:c16="http://schemas.microsoft.com/office/drawing/2014/chart" uri="{C3380CC4-5D6E-409C-BE32-E72D297353CC}">
              <c16:uniqueId val="{00000000-2FE2-49D3-AF61-C52DC1C6AD48}"/>
            </c:ext>
          </c:extLst>
        </c:ser>
        <c:dLbls>
          <c:showLegendKey val="0"/>
          <c:showVal val="0"/>
          <c:showCatName val="0"/>
          <c:showSerName val="0"/>
          <c:showPercent val="0"/>
          <c:showBubbleSize val="0"/>
        </c:dLbls>
        <c:smooth val="0"/>
        <c:axId val="354663071"/>
        <c:axId val="628862447"/>
      </c:lineChart>
      <c:catAx>
        <c:axId val="354663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862447"/>
        <c:crosses val="autoZero"/>
        <c:auto val="1"/>
        <c:lblAlgn val="ctr"/>
        <c:lblOffset val="100"/>
        <c:noMultiLvlLbl val="0"/>
      </c:catAx>
      <c:valAx>
        <c:axId val="628862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6630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Исполненные обязательства по договорам поручительства за 2020-2022 г., млн.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'РГО_2017-2019'!$D$120</c:f>
              <c:strCache>
                <c:ptCount val="1"/>
                <c:pt idx="0">
                  <c:v>Исполненные обязательства по договорам поручительства за 2017-2019 г., млн. руб.</c:v>
                </c:pt>
              </c:strCache>
            </c:strRef>
          </c:tx>
          <c:spPr>
            <a:solidFill>
              <a:schemeClr val="accent1"/>
            </a:solidFill>
            <a:ln>
              <a:noFill/>
            </a:ln>
            <a:effectLst/>
            <a:sp3d/>
          </c:spPr>
          <c:invertIfNegative val="0"/>
          <c:cat>
            <c:strRef>
              <c:f>'РГО_2017-2019'!$C$121:$C$123</c:f>
              <c:strCache>
                <c:ptCount val="3"/>
                <c:pt idx="0">
                  <c:v>2020</c:v>
                </c:pt>
                <c:pt idx="1">
                  <c:v>2021</c:v>
                </c:pt>
                <c:pt idx="2">
                  <c:v>11 месяцев 2022</c:v>
                </c:pt>
              </c:strCache>
            </c:strRef>
          </c:cat>
          <c:val>
            <c:numRef>
              <c:f>'РГО_2017-2019'!$D$121:$D$123</c:f>
              <c:numCache>
                <c:formatCode>General</c:formatCode>
                <c:ptCount val="3"/>
                <c:pt idx="0">
                  <c:v>5.8</c:v>
                </c:pt>
                <c:pt idx="1">
                  <c:v>7</c:v>
                </c:pt>
                <c:pt idx="2">
                  <c:v>14.2</c:v>
                </c:pt>
              </c:numCache>
            </c:numRef>
          </c:val>
          <c:extLst>
            <c:ext xmlns:c16="http://schemas.microsoft.com/office/drawing/2014/chart" uri="{C3380CC4-5D6E-409C-BE32-E72D297353CC}">
              <c16:uniqueId val="{00000000-16AF-4A13-B961-FADFF26052B0}"/>
            </c:ext>
          </c:extLst>
        </c:ser>
        <c:dLbls>
          <c:showLegendKey val="0"/>
          <c:showVal val="0"/>
          <c:showCatName val="0"/>
          <c:showSerName val="0"/>
          <c:showPercent val="0"/>
          <c:showBubbleSize val="0"/>
        </c:dLbls>
        <c:gapWidth val="150"/>
        <c:shape val="box"/>
        <c:axId val="540933967"/>
        <c:axId val="628891567"/>
        <c:axId val="0"/>
      </c:bar3DChart>
      <c:catAx>
        <c:axId val="54093396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891567"/>
        <c:crosses val="autoZero"/>
        <c:auto val="1"/>
        <c:lblAlgn val="ctr"/>
        <c:lblOffset val="100"/>
        <c:noMultiLvlLbl val="0"/>
      </c:catAx>
      <c:valAx>
        <c:axId val="628891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9339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1D1A-8F86-4682-89E7-C506891C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17</Pages>
  <Words>4416</Words>
  <Characters>30443</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34790</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72090730</vt:i4>
      </vt:variant>
      <vt:variant>
        <vt:i4>3</vt:i4>
      </vt:variant>
      <vt:variant>
        <vt:i4>0</vt:i4>
      </vt:variant>
      <vt:variant>
        <vt:i4>5</vt:i4>
      </vt:variant>
      <vt:variant>
        <vt:lpwstr>http://www.гфоо.рф/</vt:lpwstr>
      </vt:variant>
      <vt:variant>
        <vt:lpwstr/>
      </vt:variant>
      <vt:variant>
        <vt:i4>72090730</vt:i4>
      </vt:variant>
      <vt:variant>
        <vt:i4>0</vt:i4>
      </vt:variant>
      <vt:variant>
        <vt:i4>0</vt:i4>
      </vt:variant>
      <vt:variant>
        <vt:i4>5</vt:i4>
      </vt:variant>
      <vt:variant>
        <vt:lpwstr>http://www.гфоо.рф/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12</cp:revision>
  <cp:lastPrinted>2022-12-08T10:18:00Z</cp:lastPrinted>
  <dcterms:created xsi:type="dcterms:W3CDTF">2022-12-06T12:23:00Z</dcterms:created>
  <dcterms:modified xsi:type="dcterms:W3CDTF">2023-01-31T05:23:00Z</dcterms:modified>
</cp:coreProperties>
</file>